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3F" w:rsidRDefault="00C9783F" w:rsidP="00A11445">
      <w:pPr>
        <w:jc w:val="center"/>
        <w:rPr>
          <w:sz w:val="22"/>
          <w:szCs w:val="22"/>
        </w:rPr>
      </w:pPr>
      <w:r>
        <w:rPr>
          <w:b/>
        </w:rPr>
        <w:t>VA Program Comment for Vacant and Underutilized Properties</w:t>
      </w:r>
    </w:p>
    <w:p w:rsidR="00B76044" w:rsidRPr="00C9783F" w:rsidRDefault="00C9783F" w:rsidP="00C9783F">
      <w:pPr>
        <w:jc w:val="center"/>
        <w:rPr>
          <w:sz w:val="22"/>
          <w:szCs w:val="22"/>
        </w:rPr>
      </w:pPr>
      <w:r w:rsidRPr="00C9783F">
        <w:rPr>
          <w:b/>
        </w:rPr>
        <w:t>20</w:t>
      </w:r>
      <w:r w:rsidR="000C391E">
        <w:rPr>
          <w:b/>
        </w:rPr>
        <w:t>2</w:t>
      </w:r>
      <w:r w:rsidR="00162DE6">
        <w:rPr>
          <w:b/>
        </w:rPr>
        <w:t>1</w:t>
      </w:r>
      <w:r w:rsidRPr="00C9783F">
        <w:rPr>
          <w:b/>
        </w:rPr>
        <w:t xml:space="preserve"> </w:t>
      </w:r>
      <w:r w:rsidR="00B76044" w:rsidRPr="00C9783F">
        <w:rPr>
          <w:b/>
        </w:rPr>
        <w:t>Annual Summary</w:t>
      </w:r>
    </w:p>
    <w:p w:rsidR="00C9783F" w:rsidRPr="00C9783F" w:rsidRDefault="00C9783F" w:rsidP="00C9783F">
      <w:pPr>
        <w:jc w:val="center"/>
        <w:rPr>
          <w:b/>
        </w:rPr>
      </w:pPr>
      <w:r w:rsidRPr="00C9783F">
        <w:rPr>
          <w:b/>
        </w:rPr>
        <w:t>VA Response to Submitted Comments</w:t>
      </w:r>
    </w:p>
    <w:p w:rsidR="000C391E" w:rsidRDefault="000C391E" w:rsidP="00B76044">
      <w:pPr>
        <w:rPr>
          <w:rFonts w:eastAsia="Calibri"/>
          <w:sz w:val="22"/>
          <w:szCs w:val="22"/>
        </w:rPr>
      </w:pPr>
    </w:p>
    <w:p w:rsidR="006F6121" w:rsidRDefault="006F6121" w:rsidP="000C391E">
      <w:pPr>
        <w:pStyle w:val="Default"/>
        <w:rPr>
          <w:sz w:val="22"/>
          <w:szCs w:val="22"/>
        </w:rPr>
      </w:pPr>
    </w:p>
    <w:p w:rsidR="00910750" w:rsidRPr="00826115" w:rsidRDefault="00910750" w:rsidP="00910750">
      <w:pPr>
        <w:rPr>
          <w:rFonts w:eastAsia="Calibri"/>
          <w:sz w:val="22"/>
          <w:szCs w:val="22"/>
        </w:rPr>
      </w:pPr>
      <w:r w:rsidRPr="00826115">
        <w:rPr>
          <w:rFonts w:eastAsia="Calibri"/>
          <w:sz w:val="22"/>
          <w:szCs w:val="22"/>
        </w:rPr>
        <w:t>On October 26, 2018, the Advisory Council on Historic Preservation (ACHP) issued a "</w:t>
      </w:r>
      <w:hyperlink r:id="rId9" w:history="1">
        <w:r w:rsidRPr="00826115">
          <w:rPr>
            <w:rStyle w:val="Hyperlink"/>
            <w:rFonts w:eastAsia="Calibri"/>
            <w:sz w:val="22"/>
            <w:szCs w:val="22"/>
          </w:rPr>
          <w:t xml:space="preserve">Program Comment for Vacant and Underutilized </w:t>
        </w:r>
        <w:r w:rsidRPr="00826115">
          <w:rPr>
            <w:rStyle w:val="Hyperlink"/>
            <w:rFonts w:eastAsia="Calibri"/>
            <w:sz w:val="22"/>
            <w:szCs w:val="22"/>
          </w:rPr>
          <w:t>P</w:t>
        </w:r>
        <w:r w:rsidRPr="00826115">
          <w:rPr>
            <w:rStyle w:val="Hyperlink"/>
            <w:rFonts w:eastAsia="Calibri"/>
            <w:sz w:val="22"/>
            <w:szCs w:val="22"/>
          </w:rPr>
          <w:t>roperties</w:t>
        </w:r>
      </w:hyperlink>
      <w:r w:rsidRPr="00826115">
        <w:rPr>
          <w:rFonts w:eastAsia="Calibri"/>
          <w:sz w:val="22"/>
          <w:szCs w:val="22"/>
        </w:rPr>
        <w:t xml:space="preserve">" (VA Program Comment) at the request of the U.S. Department of Veterans Affairs (VA). The VA Program Comment enables VA to proceed with certain undertakings following an expedited Section 106 review process that complements VA’s real property priorities in finding uses for its vacant and underutilized properties. </w:t>
      </w:r>
    </w:p>
    <w:p w:rsidR="00910750" w:rsidRPr="0007056D" w:rsidRDefault="00910750" w:rsidP="00910750">
      <w:pPr>
        <w:rPr>
          <w:rFonts w:eastAsia="Calibri"/>
          <w:b/>
          <w:sz w:val="22"/>
          <w:szCs w:val="22"/>
        </w:rPr>
      </w:pPr>
    </w:p>
    <w:p w:rsidR="00910750" w:rsidRPr="007566A0" w:rsidRDefault="00910750" w:rsidP="00910750">
      <w:pPr>
        <w:rPr>
          <w:rFonts w:eastAsia="Calibri"/>
          <w:sz w:val="22"/>
          <w:szCs w:val="22"/>
        </w:rPr>
      </w:pPr>
      <w:r w:rsidRPr="00CE57E9">
        <w:rPr>
          <w:rFonts w:eastAsia="Calibri"/>
          <w:sz w:val="22"/>
          <w:szCs w:val="22"/>
        </w:rPr>
        <w:t xml:space="preserve">On </w:t>
      </w:r>
      <w:r>
        <w:rPr>
          <w:rFonts w:eastAsia="Calibri"/>
          <w:sz w:val="22"/>
          <w:szCs w:val="22"/>
        </w:rPr>
        <w:t>June 28, 2021</w:t>
      </w:r>
      <w:r w:rsidRPr="0007056D">
        <w:rPr>
          <w:rFonts w:eastAsia="Calibri"/>
          <w:sz w:val="22"/>
          <w:szCs w:val="22"/>
        </w:rPr>
        <w:t xml:space="preserve">, VA provided the ACHP with documentation to fulfill the requirements of Section 3 of the VA Program Comment, “Annual Publication and Review of VA’s Real Property Portfolio.” Section 3 requires that for each year the VA Program Comment is in </w:t>
      </w:r>
      <w:r w:rsidRPr="007566A0">
        <w:rPr>
          <w:rFonts w:eastAsia="Calibri"/>
          <w:spacing w:val="-4"/>
          <w:sz w:val="22"/>
          <w:szCs w:val="22"/>
        </w:rPr>
        <w:t>effect, VA will provide the ACHP with (a) a composite list of properties that could be subject</w:t>
      </w:r>
      <w:r w:rsidRPr="007566A0">
        <w:rPr>
          <w:rFonts w:eastAsia="Calibri"/>
          <w:sz w:val="22"/>
          <w:szCs w:val="22"/>
        </w:rPr>
        <w:t xml:space="preserve"> to the Program Comment should an applicable undertaking covered by the Program </w:t>
      </w:r>
      <w:r w:rsidRPr="007566A0">
        <w:rPr>
          <w:rFonts w:eastAsia="Calibri"/>
          <w:spacing w:val="-2"/>
          <w:sz w:val="22"/>
          <w:szCs w:val="22"/>
        </w:rPr>
        <w:t>Comment be proposed; and (b) a narrative explaining its conclusion that historic utilitarian</w:t>
      </w:r>
      <w:r w:rsidRPr="007566A0">
        <w:rPr>
          <w:rFonts w:eastAsia="Calibri"/>
          <w:sz w:val="22"/>
          <w:szCs w:val="22"/>
        </w:rPr>
        <w:t xml:space="preserve"> properties may be eliminated without endangering the continued National Register of Historic Places (NRHP) eligibility of the historic districts in which they are located.</w:t>
      </w:r>
    </w:p>
    <w:p w:rsidR="00910750" w:rsidRPr="007566A0" w:rsidRDefault="00910750" w:rsidP="00910750">
      <w:pPr>
        <w:rPr>
          <w:rFonts w:eastAsia="Calibri"/>
          <w:sz w:val="22"/>
          <w:szCs w:val="22"/>
        </w:rPr>
      </w:pPr>
    </w:p>
    <w:p w:rsidR="00FB7CBA" w:rsidRDefault="00910750" w:rsidP="00910750">
      <w:pPr>
        <w:rPr>
          <w:rFonts w:eastAsia="Calibri"/>
          <w:sz w:val="22"/>
          <w:szCs w:val="22"/>
        </w:rPr>
      </w:pPr>
      <w:r w:rsidRPr="007566A0">
        <w:rPr>
          <w:rFonts w:eastAsia="Calibri"/>
          <w:sz w:val="22"/>
          <w:szCs w:val="22"/>
        </w:rPr>
        <w:t xml:space="preserve">On </w:t>
      </w:r>
      <w:r>
        <w:rPr>
          <w:rFonts w:eastAsia="Calibri"/>
          <w:sz w:val="22"/>
          <w:szCs w:val="22"/>
        </w:rPr>
        <w:t>June 30, 2021</w:t>
      </w:r>
      <w:r w:rsidRPr="007566A0">
        <w:rPr>
          <w:rFonts w:eastAsia="Calibri"/>
          <w:sz w:val="22"/>
          <w:szCs w:val="22"/>
        </w:rPr>
        <w:t xml:space="preserve">, ACHP posted the composite list of properties and narrative on its </w:t>
      </w:r>
      <w:hyperlink r:id="rId10" w:history="1">
        <w:r w:rsidRPr="00826115">
          <w:rPr>
            <w:rStyle w:val="Hyperlink"/>
            <w:rFonts w:eastAsia="Calibri"/>
            <w:sz w:val="22"/>
            <w:szCs w:val="22"/>
          </w:rPr>
          <w:t>V</w:t>
        </w:r>
        <w:r w:rsidRPr="00826115">
          <w:rPr>
            <w:rStyle w:val="Hyperlink"/>
            <w:rFonts w:eastAsia="Calibri"/>
            <w:sz w:val="22"/>
            <w:szCs w:val="22"/>
          </w:rPr>
          <w:t>A</w:t>
        </w:r>
        <w:r w:rsidRPr="00826115">
          <w:rPr>
            <w:rStyle w:val="Hyperlink"/>
            <w:rFonts w:eastAsia="Calibri"/>
            <w:sz w:val="22"/>
            <w:szCs w:val="22"/>
          </w:rPr>
          <w:t xml:space="preserve"> Program Comment </w:t>
        </w:r>
      </w:hyperlink>
      <w:r w:rsidRPr="00826115">
        <w:rPr>
          <w:rFonts w:eastAsia="Calibri"/>
          <w:sz w:val="22"/>
          <w:szCs w:val="22"/>
        </w:rPr>
        <w:t xml:space="preserve"> web page and emailed interested parties to inform them that the list was available for review and comment for</w:t>
      </w:r>
      <w:r>
        <w:rPr>
          <w:rFonts w:eastAsia="Calibri"/>
          <w:sz w:val="22"/>
          <w:szCs w:val="22"/>
        </w:rPr>
        <w:t xml:space="preserve"> 30</w:t>
      </w:r>
      <w:r w:rsidRPr="00826115">
        <w:rPr>
          <w:rFonts w:eastAsia="Calibri"/>
          <w:sz w:val="22"/>
          <w:szCs w:val="22"/>
        </w:rPr>
        <w:t xml:space="preserve"> days. Section 3 of the VA Program Comment specifies that </w:t>
      </w:r>
      <w:r w:rsidRPr="00826115">
        <w:rPr>
          <w:sz w:val="22"/>
          <w:szCs w:val="22"/>
        </w:rPr>
        <w:t>interested parties may requ</w:t>
      </w:r>
      <w:r w:rsidRPr="0007056D">
        <w:rPr>
          <w:sz w:val="22"/>
          <w:szCs w:val="22"/>
        </w:rPr>
        <w:t>est additional information and/or send comments to VA concerning properties on the composite list and VA will respond to such requests and comments.</w:t>
      </w:r>
      <w:r w:rsidRPr="007566A0">
        <w:rPr>
          <w:rFonts w:eastAsia="Calibri"/>
          <w:sz w:val="22"/>
          <w:szCs w:val="22"/>
        </w:rPr>
        <w:t xml:space="preserve"> </w:t>
      </w:r>
    </w:p>
    <w:p w:rsidR="00FB7CBA" w:rsidRDefault="00FB7CBA" w:rsidP="00910750">
      <w:pPr>
        <w:rPr>
          <w:rFonts w:eastAsia="Calibri"/>
          <w:sz w:val="22"/>
          <w:szCs w:val="22"/>
        </w:rPr>
      </w:pPr>
    </w:p>
    <w:p w:rsidR="00910750" w:rsidRPr="007566A0" w:rsidRDefault="00910750" w:rsidP="00910750">
      <w:pPr>
        <w:rPr>
          <w:rFonts w:eastAsia="Calibri"/>
          <w:sz w:val="22"/>
          <w:szCs w:val="22"/>
        </w:rPr>
      </w:pPr>
      <w:r w:rsidRPr="007566A0">
        <w:rPr>
          <w:rFonts w:eastAsia="Calibri"/>
          <w:sz w:val="22"/>
          <w:szCs w:val="22"/>
        </w:rPr>
        <w:t xml:space="preserve">It also specifies that </w:t>
      </w:r>
      <w:r>
        <w:rPr>
          <w:sz w:val="22"/>
          <w:szCs w:val="22"/>
        </w:rPr>
        <w:t>within this 3</w:t>
      </w:r>
      <w:r w:rsidRPr="007566A0">
        <w:rPr>
          <w:sz w:val="22"/>
          <w:szCs w:val="22"/>
        </w:rPr>
        <w:t>0-day period, State Historic Preservation Officers (SHPOs), Tribal Historic Preservation Officers (THPOs), Indian tribes, and Native Hawaiian organizations (NHOs) may object to VA in writing if there is a discrepancy between their files and the eligibility evaluations in VA's Capital Asset Inventory (CAI), and/or they believe the elimination of one or more utilitarian properties within particular historic districts in their states could (individually or cumulatively) endanger the continued eligibility of such districts.</w:t>
      </w:r>
      <w:r w:rsidR="00B828C0">
        <w:rPr>
          <w:sz w:val="22"/>
          <w:szCs w:val="22"/>
        </w:rPr>
        <w:br/>
      </w:r>
    </w:p>
    <w:p w:rsidR="00910750" w:rsidRPr="007566A0" w:rsidRDefault="00910750" w:rsidP="00910750">
      <w:pPr>
        <w:rPr>
          <w:rFonts w:eastAsia="Calibri"/>
          <w:sz w:val="22"/>
          <w:szCs w:val="22"/>
        </w:rPr>
      </w:pPr>
      <w:r w:rsidRPr="00826115">
        <w:rPr>
          <w:rFonts w:eastAsia="Calibri"/>
          <w:sz w:val="22"/>
          <w:szCs w:val="22"/>
        </w:rPr>
        <w:t>During the review period (</w:t>
      </w:r>
      <w:r>
        <w:rPr>
          <w:rFonts w:eastAsia="Calibri"/>
          <w:sz w:val="22"/>
          <w:szCs w:val="22"/>
        </w:rPr>
        <w:t>6/30/2021</w:t>
      </w:r>
      <w:r w:rsidRPr="00826115">
        <w:rPr>
          <w:rFonts w:eastAsia="Calibri"/>
          <w:sz w:val="22"/>
          <w:szCs w:val="22"/>
        </w:rPr>
        <w:t xml:space="preserve"> </w:t>
      </w:r>
      <w:r>
        <w:rPr>
          <w:rFonts w:eastAsia="Calibri"/>
          <w:sz w:val="22"/>
          <w:szCs w:val="22"/>
        </w:rPr>
        <w:t>–</w:t>
      </w:r>
      <w:r w:rsidRPr="00826115">
        <w:rPr>
          <w:rFonts w:eastAsia="Calibri"/>
          <w:sz w:val="22"/>
          <w:szCs w:val="22"/>
        </w:rPr>
        <w:t xml:space="preserve"> </w:t>
      </w:r>
      <w:r>
        <w:rPr>
          <w:rFonts w:eastAsia="Calibri"/>
          <w:sz w:val="22"/>
          <w:szCs w:val="22"/>
        </w:rPr>
        <w:t>7/30/2021</w:t>
      </w:r>
      <w:r w:rsidRPr="00826115">
        <w:rPr>
          <w:rFonts w:eastAsia="Calibri"/>
          <w:sz w:val="22"/>
          <w:szCs w:val="22"/>
        </w:rPr>
        <w:t>), interested parties provided VA with requests for additional information, comments, and objections concerning the properties on the 20</w:t>
      </w:r>
      <w:r>
        <w:rPr>
          <w:rFonts w:eastAsia="Calibri"/>
          <w:sz w:val="22"/>
          <w:szCs w:val="22"/>
        </w:rPr>
        <w:t>21 list of 369</w:t>
      </w:r>
      <w:r w:rsidR="000D2CCB">
        <w:rPr>
          <w:rFonts w:eastAsia="Calibri"/>
          <w:sz w:val="22"/>
          <w:szCs w:val="22"/>
        </w:rPr>
        <w:t xml:space="preserve"> </w:t>
      </w:r>
      <w:r w:rsidRPr="00826115">
        <w:rPr>
          <w:rFonts w:eastAsia="Calibri"/>
          <w:sz w:val="22"/>
          <w:szCs w:val="22"/>
        </w:rPr>
        <w:t>vacant and underutilized buildings</w:t>
      </w:r>
      <w:r w:rsidRPr="0007056D">
        <w:rPr>
          <w:rFonts w:eastAsia="Calibri"/>
          <w:sz w:val="22"/>
          <w:szCs w:val="22"/>
        </w:rPr>
        <w:t>, which was based on Fiscal Year (FY</w:t>
      </w:r>
      <w:r>
        <w:rPr>
          <w:rFonts w:eastAsia="Calibri"/>
          <w:sz w:val="22"/>
          <w:szCs w:val="22"/>
        </w:rPr>
        <w:t>) 2020</w:t>
      </w:r>
      <w:r w:rsidRPr="0007056D">
        <w:rPr>
          <w:rFonts w:eastAsia="Calibri"/>
          <w:sz w:val="22"/>
          <w:szCs w:val="22"/>
        </w:rPr>
        <w:t xml:space="preserve"> data VA submitted to the Federal Real Property Profile (FRPP)</w:t>
      </w:r>
      <w:r w:rsidRPr="007566A0">
        <w:rPr>
          <w:rFonts w:eastAsia="Calibri"/>
          <w:sz w:val="22"/>
          <w:szCs w:val="22"/>
        </w:rPr>
        <w:t xml:space="preserve">.  Per Section 3 of the VA Program Comment, VA is responding to </w:t>
      </w:r>
      <w:r w:rsidR="00B828C0">
        <w:rPr>
          <w:rFonts w:eastAsia="Calibri"/>
          <w:sz w:val="22"/>
          <w:szCs w:val="22"/>
        </w:rPr>
        <w:t xml:space="preserve">the </w:t>
      </w:r>
      <w:r w:rsidRPr="007566A0">
        <w:rPr>
          <w:rFonts w:eastAsia="Calibri"/>
          <w:sz w:val="22"/>
          <w:szCs w:val="22"/>
        </w:rPr>
        <w:t>submission of comments by providing a summary of the responses VA received from</w:t>
      </w:r>
      <w:bookmarkStart w:id="0" w:name="_GoBack"/>
      <w:bookmarkEnd w:id="0"/>
      <w:r w:rsidRPr="007566A0">
        <w:rPr>
          <w:rFonts w:eastAsia="Calibri"/>
          <w:sz w:val="22"/>
          <w:szCs w:val="22"/>
        </w:rPr>
        <w:t xml:space="preserve"> all interested parties during the Section 3 Annual Review.</w:t>
      </w:r>
    </w:p>
    <w:p w:rsidR="00910750" w:rsidRPr="00826115" w:rsidRDefault="00910750" w:rsidP="00910750">
      <w:pPr>
        <w:spacing w:after="160" w:line="259" w:lineRule="auto"/>
        <w:contextualSpacing/>
        <w:rPr>
          <w:sz w:val="22"/>
          <w:szCs w:val="22"/>
        </w:rPr>
      </w:pPr>
    </w:p>
    <w:p w:rsidR="00695692" w:rsidRDefault="00695692" w:rsidP="00910750">
      <w:pPr>
        <w:spacing w:after="160" w:line="259" w:lineRule="auto"/>
        <w:contextualSpacing/>
        <w:rPr>
          <w:rFonts w:eastAsia="Calibri"/>
          <w:b/>
          <w:sz w:val="22"/>
          <w:szCs w:val="22"/>
        </w:rPr>
      </w:pPr>
    </w:p>
    <w:p w:rsidR="00695692" w:rsidRDefault="00695692" w:rsidP="00910750">
      <w:pPr>
        <w:spacing w:after="160" w:line="259" w:lineRule="auto"/>
        <w:contextualSpacing/>
        <w:rPr>
          <w:rFonts w:eastAsia="Calibri"/>
          <w:b/>
          <w:sz w:val="22"/>
          <w:szCs w:val="22"/>
        </w:rPr>
      </w:pPr>
    </w:p>
    <w:p w:rsidR="00695692" w:rsidRDefault="00695692" w:rsidP="00910750">
      <w:pPr>
        <w:spacing w:after="160" w:line="259" w:lineRule="auto"/>
        <w:contextualSpacing/>
        <w:rPr>
          <w:rFonts w:eastAsia="Calibri"/>
          <w:b/>
          <w:sz w:val="22"/>
          <w:szCs w:val="22"/>
        </w:rPr>
      </w:pPr>
    </w:p>
    <w:p w:rsidR="00910750" w:rsidRPr="00826115" w:rsidRDefault="00910750" w:rsidP="00910750">
      <w:pPr>
        <w:spacing w:after="160" w:line="259" w:lineRule="auto"/>
        <w:contextualSpacing/>
        <w:rPr>
          <w:rFonts w:eastAsia="Calibri"/>
          <w:b/>
          <w:sz w:val="22"/>
          <w:szCs w:val="22"/>
        </w:rPr>
      </w:pPr>
      <w:r w:rsidRPr="00826115">
        <w:rPr>
          <w:rFonts w:eastAsia="Calibri"/>
          <w:b/>
          <w:sz w:val="22"/>
          <w:szCs w:val="22"/>
        </w:rPr>
        <w:lastRenderedPageBreak/>
        <w:t xml:space="preserve">Summary of Responses for the </w:t>
      </w:r>
      <w:r>
        <w:rPr>
          <w:rFonts w:eastAsia="Calibri"/>
          <w:b/>
          <w:sz w:val="22"/>
          <w:szCs w:val="22"/>
        </w:rPr>
        <w:t xml:space="preserve">2021 </w:t>
      </w:r>
      <w:r w:rsidRPr="00826115">
        <w:rPr>
          <w:rFonts w:eastAsia="Calibri"/>
          <w:b/>
          <w:sz w:val="22"/>
          <w:szCs w:val="22"/>
        </w:rPr>
        <w:t xml:space="preserve">Annual Review of the </w:t>
      </w:r>
      <w:r>
        <w:rPr>
          <w:rFonts w:eastAsia="Calibri"/>
          <w:b/>
          <w:sz w:val="22"/>
          <w:szCs w:val="22"/>
        </w:rPr>
        <w:t>VA Program Comment Composite List</w:t>
      </w:r>
    </w:p>
    <w:p w:rsidR="00910750" w:rsidRPr="00826115" w:rsidRDefault="00910750" w:rsidP="00910750">
      <w:pPr>
        <w:spacing w:after="160" w:line="259" w:lineRule="auto"/>
        <w:contextualSpacing/>
        <w:rPr>
          <w:rFonts w:eastAsia="Calibri"/>
          <w:b/>
          <w:sz w:val="22"/>
          <w:szCs w:val="22"/>
        </w:rPr>
      </w:pPr>
    </w:p>
    <w:p w:rsidR="00910750" w:rsidRPr="007566A0" w:rsidRDefault="00910750" w:rsidP="00910750">
      <w:pPr>
        <w:spacing w:after="160" w:line="259" w:lineRule="auto"/>
        <w:contextualSpacing/>
        <w:rPr>
          <w:rFonts w:eastAsia="Calibri"/>
          <w:bCs/>
          <w:sz w:val="22"/>
          <w:szCs w:val="22"/>
        </w:rPr>
      </w:pPr>
      <w:r>
        <w:rPr>
          <w:rFonts w:eastAsia="Calibri"/>
          <w:bCs/>
          <w:sz w:val="22"/>
          <w:szCs w:val="22"/>
        </w:rPr>
        <w:t>VA received</w:t>
      </w:r>
      <w:r w:rsidRPr="008731E2">
        <w:rPr>
          <w:rFonts w:eastAsia="Calibri"/>
          <w:bCs/>
          <w:sz w:val="22"/>
          <w:szCs w:val="22"/>
        </w:rPr>
        <w:t xml:space="preserve"> responses from </w:t>
      </w:r>
      <w:r>
        <w:rPr>
          <w:rFonts w:eastAsia="Calibri"/>
          <w:sz w:val="22"/>
          <w:szCs w:val="22"/>
        </w:rPr>
        <w:t>nine (9</w:t>
      </w:r>
      <w:r w:rsidRPr="008731E2">
        <w:rPr>
          <w:rFonts w:eastAsia="Calibri"/>
          <w:sz w:val="22"/>
          <w:szCs w:val="22"/>
        </w:rPr>
        <w:t>)</w:t>
      </w:r>
      <w:r w:rsidRPr="008731E2">
        <w:rPr>
          <w:rFonts w:eastAsia="Calibri"/>
          <w:b/>
          <w:sz w:val="22"/>
          <w:szCs w:val="22"/>
        </w:rPr>
        <w:t xml:space="preserve"> </w:t>
      </w:r>
      <w:r w:rsidRPr="008731E2">
        <w:rPr>
          <w:rFonts w:eastAsia="Calibri"/>
          <w:bCs/>
          <w:sz w:val="22"/>
          <w:szCs w:val="22"/>
        </w:rPr>
        <w:t>interested parties</w:t>
      </w:r>
      <w:r>
        <w:rPr>
          <w:rFonts w:eastAsia="Calibri"/>
          <w:bCs/>
          <w:sz w:val="22"/>
          <w:szCs w:val="22"/>
        </w:rPr>
        <w:t>, which included four</w:t>
      </w:r>
      <w:r w:rsidRPr="008731E2">
        <w:rPr>
          <w:rFonts w:eastAsia="Calibri"/>
          <w:bCs/>
          <w:sz w:val="22"/>
          <w:szCs w:val="22"/>
        </w:rPr>
        <w:t xml:space="preserve"> (</w:t>
      </w:r>
      <w:r>
        <w:rPr>
          <w:rFonts w:eastAsia="Calibri"/>
          <w:bCs/>
          <w:sz w:val="22"/>
          <w:szCs w:val="22"/>
        </w:rPr>
        <w:t>4</w:t>
      </w:r>
      <w:r w:rsidRPr="008731E2">
        <w:rPr>
          <w:rFonts w:eastAsia="Calibri"/>
          <w:bCs/>
          <w:sz w:val="22"/>
          <w:szCs w:val="22"/>
        </w:rPr>
        <w:t xml:space="preserve">) SHPOs, </w:t>
      </w:r>
      <w:r>
        <w:rPr>
          <w:rFonts w:eastAsia="Calibri"/>
          <w:bCs/>
          <w:sz w:val="22"/>
          <w:szCs w:val="22"/>
        </w:rPr>
        <w:t>three</w:t>
      </w:r>
      <w:r w:rsidRPr="008731E2">
        <w:rPr>
          <w:rFonts w:eastAsia="Calibri"/>
          <w:bCs/>
          <w:sz w:val="22"/>
          <w:szCs w:val="22"/>
        </w:rPr>
        <w:t xml:space="preserve"> (</w:t>
      </w:r>
      <w:r>
        <w:rPr>
          <w:rFonts w:eastAsia="Calibri"/>
          <w:bCs/>
          <w:sz w:val="22"/>
          <w:szCs w:val="22"/>
        </w:rPr>
        <w:t>3</w:t>
      </w:r>
      <w:r w:rsidRPr="008731E2">
        <w:rPr>
          <w:rFonts w:eastAsia="Calibri"/>
          <w:bCs/>
          <w:sz w:val="22"/>
          <w:szCs w:val="22"/>
        </w:rPr>
        <w:t>) Indian tribes, one (1) preservation organization</w:t>
      </w:r>
      <w:r>
        <w:rPr>
          <w:rFonts w:eastAsia="Calibri"/>
          <w:bCs/>
          <w:sz w:val="22"/>
          <w:szCs w:val="22"/>
        </w:rPr>
        <w:t>, and one (1) private developer. Of note, this is the first time VA has received a response from a developer.</w:t>
      </w:r>
      <w:r w:rsidRPr="008731E2">
        <w:rPr>
          <w:rFonts w:eastAsia="Calibri"/>
          <w:bCs/>
          <w:sz w:val="22"/>
          <w:szCs w:val="22"/>
        </w:rPr>
        <w:t xml:space="preserve"> </w:t>
      </w:r>
      <w:r>
        <w:rPr>
          <w:rFonts w:eastAsia="Calibri"/>
          <w:bCs/>
          <w:sz w:val="22"/>
          <w:szCs w:val="22"/>
        </w:rPr>
        <w:t xml:space="preserve">The following </w:t>
      </w:r>
      <w:r w:rsidRPr="008731E2">
        <w:rPr>
          <w:rFonts w:eastAsia="Calibri"/>
          <w:bCs/>
          <w:sz w:val="22"/>
          <w:szCs w:val="22"/>
        </w:rPr>
        <w:t>submitted comments regarding properties on the 20</w:t>
      </w:r>
      <w:r>
        <w:rPr>
          <w:rFonts w:eastAsia="Calibri"/>
          <w:bCs/>
          <w:sz w:val="22"/>
          <w:szCs w:val="22"/>
        </w:rPr>
        <w:t>21</w:t>
      </w:r>
      <w:r w:rsidRPr="008731E2">
        <w:rPr>
          <w:rFonts w:eastAsia="Calibri"/>
          <w:bCs/>
          <w:sz w:val="22"/>
          <w:szCs w:val="22"/>
        </w:rPr>
        <w:t xml:space="preserve"> composite list:</w:t>
      </w:r>
    </w:p>
    <w:p w:rsidR="00910750" w:rsidRDefault="00910750" w:rsidP="00910750">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t xml:space="preserve">SHPOs: </w:t>
      </w:r>
      <w:r>
        <w:rPr>
          <w:rFonts w:ascii="Arial" w:hAnsi="Arial" w:cs="Arial"/>
          <w:bCs/>
          <w:sz w:val="22"/>
          <w:szCs w:val="22"/>
        </w:rPr>
        <w:t>Alabama, Colorado, Massachusetts, and Virginia</w:t>
      </w:r>
    </w:p>
    <w:p w:rsidR="00910750" w:rsidRPr="007566A0" w:rsidRDefault="00910750" w:rsidP="00910750">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t>Indian tribe</w:t>
      </w:r>
      <w:r>
        <w:rPr>
          <w:rFonts w:ascii="Arial" w:hAnsi="Arial" w:cs="Arial"/>
          <w:bCs/>
          <w:sz w:val="22"/>
          <w:szCs w:val="22"/>
        </w:rPr>
        <w:t>s</w:t>
      </w:r>
      <w:r w:rsidRPr="007566A0">
        <w:rPr>
          <w:rFonts w:ascii="Arial" w:hAnsi="Arial" w:cs="Arial"/>
          <w:bCs/>
          <w:sz w:val="22"/>
          <w:szCs w:val="22"/>
        </w:rPr>
        <w:t xml:space="preserve">: </w:t>
      </w:r>
      <w:proofErr w:type="spellStart"/>
      <w:r w:rsidRPr="00943E64">
        <w:rPr>
          <w:rFonts w:ascii="Arial" w:hAnsi="Arial" w:cs="Arial"/>
          <w:bCs/>
          <w:sz w:val="22"/>
          <w:szCs w:val="22"/>
        </w:rPr>
        <w:t>Nottawaseppi</w:t>
      </w:r>
      <w:proofErr w:type="spellEnd"/>
      <w:r w:rsidRPr="00943E64">
        <w:rPr>
          <w:rFonts w:ascii="Arial" w:hAnsi="Arial" w:cs="Arial"/>
          <w:bCs/>
          <w:sz w:val="22"/>
          <w:szCs w:val="22"/>
        </w:rPr>
        <w:t xml:space="preserve"> Huron Band of the Potawatomi</w:t>
      </w:r>
      <w:r w:rsidRPr="008731E2">
        <w:rPr>
          <w:rFonts w:ascii="Arial" w:hAnsi="Arial" w:cs="Arial"/>
          <w:bCs/>
          <w:sz w:val="22"/>
          <w:szCs w:val="22"/>
        </w:rPr>
        <w:t xml:space="preserve">, Squaxin Island Tribe, </w:t>
      </w:r>
      <w:r>
        <w:rPr>
          <w:rFonts w:ascii="Arial" w:hAnsi="Arial" w:cs="Arial"/>
          <w:bCs/>
          <w:sz w:val="22"/>
          <w:szCs w:val="22"/>
        </w:rPr>
        <w:t xml:space="preserve">and </w:t>
      </w:r>
      <w:r w:rsidRPr="00943E64">
        <w:rPr>
          <w:rFonts w:ascii="Arial" w:hAnsi="Arial" w:cs="Arial"/>
          <w:bCs/>
          <w:sz w:val="22"/>
          <w:szCs w:val="22"/>
        </w:rPr>
        <w:t>Arapaho Tribe of the Wind River Reservation</w:t>
      </w:r>
    </w:p>
    <w:p w:rsidR="00910750" w:rsidRDefault="00910750" w:rsidP="00910750">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t>Preservation Organization: National Trust for Historic Preservation (NTHP)</w:t>
      </w:r>
    </w:p>
    <w:p w:rsidR="00910750" w:rsidRPr="007566A0" w:rsidRDefault="00910750" w:rsidP="00910750">
      <w:pPr>
        <w:pStyle w:val="ListParagraph"/>
        <w:numPr>
          <w:ilvl w:val="0"/>
          <w:numId w:val="3"/>
        </w:numPr>
        <w:spacing w:after="160" w:line="259" w:lineRule="auto"/>
        <w:rPr>
          <w:rFonts w:ascii="Arial" w:hAnsi="Arial" w:cs="Arial"/>
          <w:bCs/>
          <w:sz w:val="22"/>
          <w:szCs w:val="22"/>
        </w:rPr>
      </w:pPr>
      <w:r>
        <w:rPr>
          <w:rFonts w:ascii="Arial" w:hAnsi="Arial" w:cs="Arial"/>
          <w:bCs/>
          <w:sz w:val="22"/>
          <w:szCs w:val="22"/>
        </w:rPr>
        <w:t xml:space="preserve">Developer: </w:t>
      </w:r>
      <w:proofErr w:type="spellStart"/>
      <w:r>
        <w:rPr>
          <w:rFonts w:ascii="Arial" w:hAnsi="Arial" w:cs="Arial"/>
          <w:bCs/>
          <w:sz w:val="22"/>
          <w:szCs w:val="22"/>
        </w:rPr>
        <w:t>Pennrose</w:t>
      </w:r>
      <w:proofErr w:type="spellEnd"/>
    </w:p>
    <w:p w:rsidR="00910750" w:rsidRPr="007566A0" w:rsidRDefault="00910750" w:rsidP="00910750">
      <w:pPr>
        <w:spacing w:after="160" w:line="259" w:lineRule="auto"/>
        <w:contextualSpacing/>
        <w:rPr>
          <w:rFonts w:eastAsia="Calibri"/>
          <w:bCs/>
          <w:sz w:val="22"/>
          <w:szCs w:val="22"/>
        </w:rPr>
      </w:pPr>
      <w:r w:rsidRPr="00CE57E9">
        <w:rPr>
          <w:rFonts w:eastAsia="Calibri"/>
          <w:bCs/>
          <w:sz w:val="22"/>
          <w:szCs w:val="22"/>
        </w:rPr>
        <w:t xml:space="preserve">The comments submitted </w:t>
      </w:r>
      <w:r w:rsidRPr="00C37AE4">
        <w:rPr>
          <w:rFonts w:eastAsia="Calibri"/>
          <w:bCs/>
          <w:sz w:val="22"/>
          <w:szCs w:val="22"/>
        </w:rPr>
        <w:t xml:space="preserve">addressed </w:t>
      </w:r>
      <w:r w:rsidRPr="00C37AE4">
        <w:rPr>
          <w:rFonts w:eastAsia="Calibri"/>
          <w:sz w:val="22"/>
          <w:szCs w:val="22"/>
        </w:rPr>
        <w:t xml:space="preserve">102 </w:t>
      </w:r>
      <w:r w:rsidRPr="00C37AE4">
        <w:rPr>
          <w:rFonts w:eastAsia="Calibri"/>
          <w:bCs/>
          <w:sz w:val="22"/>
          <w:szCs w:val="22"/>
        </w:rPr>
        <w:t>of the 369</w:t>
      </w:r>
      <w:r w:rsidRPr="00A578EE">
        <w:rPr>
          <w:rFonts w:eastAsia="Calibri"/>
          <w:bCs/>
          <w:sz w:val="22"/>
          <w:szCs w:val="22"/>
        </w:rPr>
        <w:t xml:space="preserve"> </w:t>
      </w:r>
      <w:r w:rsidRPr="00C37AE4">
        <w:rPr>
          <w:rFonts w:eastAsia="Calibri"/>
          <w:bCs/>
          <w:sz w:val="22"/>
          <w:szCs w:val="22"/>
        </w:rPr>
        <w:t>vacant and underutilized properties located in 11 states (AL, CO, IN, IL, MA, MD, MI, OH, VA, WA, and WY) representing</w:t>
      </w:r>
      <w:r w:rsidRPr="00C65134">
        <w:rPr>
          <w:rFonts w:eastAsia="Calibri"/>
          <w:bCs/>
          <w:sz w:val="22"/>
          <w:szCs w:val="22"/>
        </w:rPr>
        <w:t xml:space="preserve"> </w:t>
      </w:r>
      <w:r>
        <w:rPr>
          <w:rFonts w:eastAsia="Calibri"/>
          <w:bCs/>
          <w:sz w:val="22"/>
          <w:szCs w:val="22"/>
        </w:rPr>
        <w:t>28%</w:t>
      </w:r>
      <w:r w:rsidRPr="00C65134">
        <w:rPr>
          <w:rFonts w:eastAsia="Calibri"/>
          <w:bCs/>
          <w:sz w:val="22"/>
          <w:szCs w:val="22"/>
        </w:rPr>
        <w:t xml:space="preserve"> of the composite list.</w:t>
      </w:r>
      <w:r w:rsidRPr="007566A0">
        <w:rPr>
          <w:rFonts w:eastAsia="Calibri"/>
          <w:bCs/>
          <w:sz w:val="22"/>
          <w:szCs w:val="22"/>
        </w:rPr>
        <w:t xml:space="preserve"> </w:t>
      </w:r>
    </w:p>
    <w:p w:rsidR="00910750" w:rsidRPr="007566A0" w:rsidRDefault="00910750" w:rsidP="00910750">
      <w:pPr>
        <w:spacing w:after="160" w:line="259" w:lineRule="auto"/>
        <w:contextualSpacing/>
        <w:rPr>
          <w:rFonts w:eastAsia="Calibri"/>
          <w:bCs/>
          <w:sz w:val="22"/>
          <w:szCs w:val="22"/>
        </w:rPr>
      </w:pPr>
    </w:p>
    <w:p w:rsidR="00910750" w:rsidRPr="007566A0" w:rsidRDefault="00910750" w:rsidP="00910750">
      <w:pPr>
        <w:spacing w:after="160" w:line="259" w:lineRule="auto"/>
        <w:contextualSpacing/>
        <w:rPr>
          <w:rFonts w:eastAsia="Calibri"/>
          <w:bCs/>
          <w:sz w:val="22"/>
          <w:szCs w:val="22"/>
        </w:rPr>
      </w:pPr>
      <w:r w:rsidRPr="007566A0">
        <w:rPr>
          <w:rFonts w:eastAsia="Calibri"/>
          <w:bCs/>
          <w:sz w:val="22"/>
          <w:szCs w:val="22"/>
        </w:rPr>
        <w:t>Building-Specific Comments included</w:t>
      </w:r>
      <w:r w:rsidRPr="00DB1298">
        <w:rPr>
          <w:rFonts w:eastAsia="Calibri"/>
          <w:bCs/>
          <w:sz w:val="22"/>
          <w:szCs w:val="22"/>
        </w:rPr>
        <w:t>:</w:t>
      </w:r>
    </w:p>
    <w:p w:rsidR="00910750" w:rsidRPr="00CE57E9" w:rsidRDefault="00910750" w:rsidP="00910750">
      <w:pPr>
        <w:pStyle w:val="ListParagraph"/>
        <w:numPr>
          <w:ilvl w:val="0"/>
          <w:numId w:val="4"/>
        </w:numPr>
        <w:spacing w:after="160" w:line="259" w:lineRule="auto"/>
        <w:rPr>
          <w:rFonts w:ascii="Arial" w:hAnsi="Arial" w:cs="Arial"/>
          <w:bCs/>
          <w:sz w:val="22"/>
          <w:szCs w:val="22"/>
        </w:rPr>
      </w:pPr>
      <w:r w:rsidRPr="00CE57E9">
        <w:rPr>
          <w:rFonts w:ascii="Arial" w:hAnsi="Arial" w:cs="Arial"/>
          <w:bCs/>
          <w:sz w:val="22"/>
          <w:szCs w:val="22"/>
        </w:rPr>
        <w:t xml:space="preserve">Confirmations of NRHP </w:t>
      </w:r>
      <w:r>
        <w:rPr>
          <w:rFonts w:ascii="Arial" w:hAnsi="Arial" w:cs="Arial"/>
          <w:bCs/>
          <w:sz w:val="22"/>
          <w:szCs w:val="22"/>
        </w:rPr>
        <w:t xml:space="preserve">eligibility </w:t>
      </w:r>
      <w:r w:rsidRPr="00CE57E9">
        <w:rPr>
          <w:rFonts w:ascii="Arial" w:hAnsi="Arial" w:cs="Arial"/>
          <w:bCs/>
          <w:sz w:val="22"/>
          <w:szCs w:val="22"/>
        </w:rPr>
        <w:t>status</w:t>
      </w:r>
    </w:p>
    <w:p w:rsidR="00910750" w:rsidRDefault="00910750" w:rsidP="00910750">
      <w:pPr>
        <w:pStyle w:val="ListParagraph"/>
        <w:numPr>
          <w:ilvl w:val="0"/>
          <w:numId w:val="4"/>
        </w:numPr>
        <w:spacing w:after="160" w:line="259" w:lineRule="auto"/>
        <w:rPr>
          <w:rFonts w:ascii="Arial" w:hAnsi="Arial" w:cs="Arial"/>
          <w:bCs/>
          <w:sz w:val="22"/>
          <w:szCs w:val="22"/>
        </w:rPr>
      </w:pPr>
      <w:r w:rsidRPr="005C231B">
        <w:rPr>
          <w:rFonts w:ascii="Arial" w:hAnsi="Arial" w:cs="Arial"/>
          <w:bCs/>
          <w:sz w:val="22"/>
          <w:szCs w:val="22"/>
        </w:rPr>
        <w:t xml:space="preserve">Requests for certain </w:t>
      </w:r>
      <w:r>
        <w:rPr>
          <w:rFonts w:ascii="Arial" w:hAnsi="Arial" w:cs="Arial"/>
          <w:bCs/>
          <w:sz w:val="22"/>
          <w:szCs w:val="22"/>
        </w:rPr>
        <w:t xml:space="preserve">utilitarian </w:t>
      </w:r>
      <w:r w:rsidRPr="005C231B">
        <w:rPr>
          <w:rFonts w:ascii="Arial" w:hAnsi="Arial" w:cs="Arial"/>
          <w:bCs/>
          <w:sz w:val="22"/>
          <w:szCs w:val="22"/>
        </w:rPr>
        <w:t>properties</w:t>
      </w:r>
      <w:r>
        <w:rPr>
          <w:rFonts w:ascii="Arial" w:hAnsi="Arial" w:cs="Arial"/>
          <w:bCs/>
          <w:sz w:val="22"/>
          <w:szCs w:val="22"/>
        </w:rPr>
        <w:t xml:space="preserve"> </w:t>
      </w:r>
      <w:r w:rsidRPr="005C231B">
        <w:rPr>
          <w:rFonts w:ascii="Arial" w:hAnsi="Arial" w:cs="Arial"/>
          <w:bCs/>
          <w:sz w:val="22"/>
          <w:szCs w:val="22"/>
        </w:rPr>
        <w:t xml:space="preserve">to be </w:t>
      </w:r>
      <w:r>
        <w:rPr>
          <w:rFonts w:ascii="Arial" w:hAnsi="Arial" w:cs="Arial"/>
          <w:bCs/>
          <w:sz w:val="22"/>
          <w:szCs w:val="22"/>
        </w:rPr>
        <w:t>designated as</w:t>
      </w:r>
      <w:r w:rsidRPr="005C231B">
        <w:rPr>
          <w:rFonts w:ascii="Arial" w:hAnsi="Arial" w:cs="Arial"/>
          <w:bCs/>
          <w:sz w:val="22"/>
          <w:szCs w:val="22"/>
        </w:rPr>
        <w:t xml:space="preserve"> non-utilitarian</w:t>
      </w:r>
    </w:p>
    <w:p w:rsidR="00910750" w:rsidRDefault="00910750" w:rsidP="00910750">
      <w:pPr>
        <w:pStyle w:val="ListParagraph"/>
        <w:numPr>
          <w:ilvl w:val="0"/>
          <w:numId w:val="4"/>
        </w:numPr>
        <w:spacing w:after="160" w:line="259" w:lineRule="auto"/>
        <w:rPr>
          <w:rFonts w:ascii="Arial" w:hAnsi="Arial" w:cs="Arial"/>
          <w:bCs/>
          <w:sz w:val="22"/>
          <w:szCs w:val="22"/>
        </w:rPr>
      </w:pPr>
      <w:r w:rsidRPr="003E2E94">
        <w:rPr>
          <w:rFonts w:ascii="Arial" w:hAnsi="Arial" w:cs="Arial"/>
          <w:bCs/>
          <w:sz w:val="22"/>
          <w:szCs w:val="22"/>
        </w:rPr>
        <w:t xml:space="preserve">Requests for </w:t>
      </w:r>
      <w:r>
        <w:rPr>
          <w:rFonts w:ascii="Arial" w:hAnsi="Arial" w:cs="Arial"/>
          <w:bCs/>
          <w:sz w:val="22"/>
          <w:szCs w:val="22"/>
        </w:rPr>
        <w:t>more</w:t>
      </w:r>
      <w:r w:rsidRPr="003E2E94">
        <w:rPr>
          <w:rFonts w:ascii="Arial" w:hAnsi="Arial" w:cs="Arial"/>
          <w:bCs/>
          <w:sz w:val="22"/>
          <w:szCs w:val="22"/>
        </w:rPr>
        <w:t xml:space="preserve"> information on</w:t>
      </w:r>
      <w:r>
        <w:rPr>
          <w:rFonts w:ascii="Arial" w:hAnsi="Arial" w:cs="Arial"/>
          <w:bCs/>
          <w:sz w:val="22"/>
          <w:szCs w:val="22"/>
        </w:rPr>
        <w:t xml:space="preserve"> the plans for or </w:t>
      </w:r>
      <w:r w:rsidRPr="003E2E94">
        <w:rPr>
          <w:rFonts w:ascii="Arial" w:hAnsi="Arial" w:cs="Arial"/>
          <w:bCs/>
          <w:sz w:val="22"/>
          <w:szCs w:val="22"/>
        </w:rPr>
        <w:t>disposal of certain properties</w:t>
      </w:r>
    </w:p>
    <w:p w:rsidR="00910750" w:rsidRPr="003F37DC" w:rsidRDefault="00910750" w:rsidP="00910750">
      <w:pPr>
        <w:pStyle w:val="ListParagraph"/>
        <w:numPr>
          <w:ilvl w:val="0"/>
          <w:numId w:val="4"/>
        </w:numPr>
        <w:spacing w:after="160" w:line="259" w:lineRule="auto"/>
        <w:rPr>
          <w:rFonts w:ascii="Arial" w:hAnsi="Arial" w:cs="Arial"/>
          <w:bCs/>
          <w:sz w:val="22"/>
          <w:szCs w:val="22"/>
        </w:rPr>
      </w:pPr>
      <w:r>
        <w:rPr>
          <w:rFonts w:ascii="Arial" w:hAnsi="Arial" w:cs="Arial"/>
          <w:bCs/>
          <w:sz w:val="22"/>
          <w:szCs w:val="22"/>
        </w:rPr>
        <w:t xml:space="preserve">Requests for VA </w:t>
      </w:r>
      <w:r w:rsidRPr="003F37DC">
        <w:rPr>
          <w:rFonts w:ascii="Arial" w:hAnsi="Arial" w:cs="Arial"/>
          <w:bCs/>
          <w:sz w:val="22"/>
          <w:szCs w:val="22"/>
        </w:rPr>
        <w:t xml:space="preserve">to </w:t>
      </w:r>
      <w:r>
        <w:rPr>
          <w:rFonts w:ascii="Arial" w:hAnsi="Arial" w:cs="Arial"/>
          <w:bCs/>
          <w:sz w:val="22"/>
          <w:szCs w:val="22"/>
        </w:rPr>
        <w:t xml:space="preserve">continue preservation measures and </w:t>
      </w:r>
      <w:r w:rsidRPr="003F37DC">
        <w:rPr>
          <w:rFonts w:ascii="Arial" w:hAnsi="Arial" w:cs="Arial"/>
          <w:bCs/>
          <w:sz w:val="22"/>
          <w:szCs w:val="22"/>
        </w:rPr>
        <w:t>find alternative uses</w:t>
      </w:r>
    </w:p>
    <w:p w:rsidR="00910750" w:rsidRPr="00CE57E9" w:rsidRDefault="00910750" w:rsidP="00910750">
      <w:pPr>
        <w:pStyle w:val="ListParagraph"/>
        <w:numPr>
          <w:ilvl w:val="0"/>
          <w:numId w:val="4"/>
        </w:numPr>
        <w:spacing w:after="160" w:line="259" w:lineRule="auto"/>
        <w:rPr>
          <w:rFonts w:ascii="Arial" w:hAnsi="Arial" w:cs="Arial"/>
          <w:bCs/>
          <w:sz w:val="22"/>
          <w:szCs w:val="22"/>
        </w:rPr>
      </w:pPr>
      <w:r w:rsidRPr="00CE57E9">
        <w:rPr>
          <w:rFonts w:ascii="Arial" w:hAnsi="Arial" w:cs="Arial"/>
          <w:bCs/>
          <w:sz w:val="22"/>
          <w:szCs w:val="22"/>
        </w:rPr>
        <w:t>Statements of no interest</w:t>
      </w:r>
      <w:r>
        <w:rPr>
          <w:rFonts w:ascii="Arial" w:hAnsi="Arial" w:cs="Arial"/>
          <w:bCs/>
          <w:sz w:val="22"/>
          <w:szCs w:val="22"/>
        </w:rPr>
        <w:t>, no comments,</w:t>
      </w:r>
      <w:r w:rsidRPr="00CE57E9">
        <w:rPr>
          <w:rFonts w:ascii="Arial" w:hAnsi="Arial" w:cs="Arial"/>
          <w:bCs/>
          <w:sz w:val="22"/>
          <w:szCs w:val="22"/>
        </w:rPr>
        <w:t xml:space="preserve"> or no objections </w:t>
      </w:r>
      <w:r>
        <w:rPr>
          <w:rFonts w:ascii="Arial" w:hAnsi="Arial" w:cs="Arial"/>
          <w:bCs/>
          <w:sz w:val="22"/>
          <w:szCs w:val="22"/>
        </w:rPr>
        <w:t>for</w:t>
      </w:r>
      <w:r w:rsidRPr="00CE57E9">
        <w:rPr>
          <w:rFonts w:ascii="Arial" w:hAnsi="Arial" w:cs="Arial"/>
          <w:bCs/>
          <w:sz w:val="22"/>
          <w:szCs w:val="22"/>
        </w:rPr>
        <w:t xml:space="preserve"> certain properties</w:t>
      </w:r>
    </w:p>
    <w:p w:rsidR="00910750" w:rsidRDefault="00910750" w:rsidP="00910750">
      <w:pPr>
        <w:rPr>
          <w:sz w:val="22"/>
          <w:szCs w:val="22"/>
        </w:rPr>
      </w:pPr>
      <w:r>
        <w:rPr>
          <w:sz w:val="22"/>
          <w:szCs w:val="22"/>
        </w:rPr>
        <w:t xml:space="preserve">Based on the building-specific comments received, VA has updated the 2021 composite list as follows: </w:t>
      </w:r>
    </w:p>
    <w:p w:rsidR="00910750" w:rsidRDefault="00910750" w:rsidP="00910750">
      <w:pPr>
        <w:rPr>
          <w:sz w:val="22"/>
          <w:szCs w:val="22"/>
        </w:rPr>
      </w:pPr>
    </w:p>
    <w:p w:rsidR="00910750" w:rsidRDefault="00910750" w:rsidP="00910750">
      <w:pPr>
        <w:pStyle w:val="Default"/>
        <w:numPr>
          <w:ilvl w:val="0"/>
          <w:numId w:val="22"/>
        </w:numPr>
        <w:rPr>
          <w:sz w:val="22"/>
          <w:szCs w:val="22"/>
        </w:rPr>
      </w:pPr>
      <w:r>
        <w:rPr>
          <w:sz w:val="22"/>
          <w:szCs w:val="22"/>
        </w:rPr>
        <w:t xml:space="preserve">VA corrected the categorization of Building 8 at Edith </w:t>
      </w:r>
      <w:proofErr w:type="spellStart"/>
      <w:r>
        <w:rPr>
          <w:sz w:val="22"/>
          <w:szCs w:val="22"/>
        </w:rPr>
        <w:t>Nourse</w:t>
      </w:r>
      <w:proofErr w:type="spellEnd"/>
      <w:r>
        <w:rPr>
          <w:sz w:val="22"/>
          <w:szCs w:val="22"/>
        </w:rPr>
        <w:t xml:space="preserve"> Rogers Memorial Veterans Hospital (200 Spring Road, Bedford, MA), changing its categorization from utilitarian to non-utilitarian.</w:t>
      </w:r>
    </w:p>
    <w:p w:rsidR="00910750" w:rsidRDefault="00910750" w:rsidP="00910750">
      <w:pPr>
        <w:rPr>
          <w:sz w:val="22"/>
          <w:szCs w:val="22"/>
        </w:rPr>
      </w:pPr>
    </w:p>
    <w:p w:rsidR="00910750" w:rsidRPr="007566A0" w:rsidRDefault="00910750" w:rsidP="00910750">
      <w:pPr>
        <w:rPr>
          <w:sz w:val="22"/>
          <w:szCs w:val="22"/>
        </w:rPr>
      </w:pPr>
      <w:r w:rsidRPr="007566A0">
        <w:rPr>
          <w:sz w:val="22"/>
          <w:szCs w:val="22"/>
        </w:rPr>
        <w:t>General Comments included:</w:t>
      </w:r>
      <w:r w:rsidRPr="007566A0">
        <w:rPr>
          <w:sz w:val="22"/>
          <w:szCs w:val="22"/>
        </w:rPr>
        <w:br/>
      </w:r>
    </w:p>
    <w:p w:rsidR="00910750" w:rsidRDefault="00910750" w:rsidP="00910750">
      <w:pPr>
        <w:pStyle w:val="ListParagraph"/>
        <w:numPr>
          <w:ilvl w:val="0"/>
          <w:numId w:val="2"/>
        </w:numPr>
        <w:rPr>
          <w:rFonts w:ascii="Arial" w:hAnsi="Arial" w:cs="Arial"/>
          <w:sz w:val="22"/>
          <w:szCs w:val="22"/>
        </w:rPr>
      </w:pPr>
      <w:r w:rsidRPr="00E81DB0">
        <w:rPr>
          <w:rFonts w:ascii="Arial" w:hAnsi="Arial" w:cs="Arial"/>
          <w:b/>
          <w:bCs/>
          <w:sz w:val="22"/>
          <w:szCs w:val="22"/>
        </w:rPr>
        <w:t>VA should host a meeting to discuss the 202</w:t>
      </w:r>
      <w:r>
        <w:rPr>
          <w:rFonts w:ascii="Arial" w:hAnsi="Arial" w:cs="Arial"/>
          <w:b/>
          <w:bCs/>
          <w:sz w:val="22"/>
          <w:szCs w:val="22"/>
        </w:rPr>
        <w:t>1</w:t>
      </w:r>
      <w:r w:rsidRPr="00E81DB0">
        <w:rPr>
          <w:rFonts w:ascii="Arial" w:hAnsi="Arial" w:cs="Arial"/>
          <w:b/>
          <w:bCs/>
          <w:sz w:val="22"/>
          <w:szCs w:val="22"/>
        </w:rPr>
        <w:t xml:space="preserve"> Composite List.</w:t>
      </w:r>
      <w:r>
        <w:rPr>
          <w:rFonts w:ascii="Arial" w:hAnsi="Arial" w:cs="Arial"/>
          <w:sz w:val="22"/>
          <w:szCs w:val="22"/>
        </w:rPr>
        <w:t xml:space="preserve"> The NTHP requested that VA host a virtual meeting with</w:t>
      </w:r>
      <w:r w:rsidRPr="00623225">
        <w:rPr>
          <w:rFonts w:ascii="Arial" w:hAnsi="Arial" w:cs="Arial"/>
          <w:sz w:val="22"/>
          <w:szCs w:val="22"/>
        </w:rPr>
        <w:t xml:space="preserve"> key consulting parties to discuss </w:t>
      </w:r>
      <w:r>
        <w:rPr>
          <w:rFonts w:ascii="Arial" w:hAnsi="Arial" w:cs="Arial"/>
          <w:sz w:val="22"/>
          <w:szCs w:val="22"/>
        </w:rPr>
        <w:t>the updated composite l</w:t>
      </w:r>
      <w:r w:rsidRPr="00623225">
        <w:rPr>
          <w:rFonts w:ascii="Arial" w:hAnsi="Arial" w:cs="Arial"/>
          <w:sz w:val="22"/>
          <w:szCs w:val="22"/>
        </w:rPr>
        <w:t>ist</w:t>
      </w:r>
      <w:r>
        <w:rPr>
          <w:rFonts w:ascii="Arial" w:hAnsi="Arial" w:cs="Arial"/>
          <w:sz w:val="22"/>
          <w:szCs w:val="22"/>
        </w:rPr>
        <w:t>.</w:t>
      </w:r>
      <w:r>
        <w:rPr>
          <w:rFonts w:ascii="Arial" w:hAnsi="Arial" w:cs="Arial"/>
          <w:sz w:val="22"/>
          <w:szCs w:val="22"/>
        </w:rPr>
        <w:br/>
      </w:r>
    </w:p>
    <w:p w:rsidR="00910750" w:rsidRPr="00E81DB0" w:rsidRDefault="00910750" w:rsidP="00910750">
      <w:pPr>
        <w:pStyle w:val="ListParagraph"/>
        <w:numPr>
          <w:ilvl w:val="1"/>
          <w:numId w:val="2"/>
        </w:numPr>
        <w:rPr>
          <w:rFonts w:ascii="Arial" w:hAnsi="Arial" w:cs="Arial"/>
          <w:sz w:val="22"/>
          <w:szCs w:val="22"/>
        </w:rPr>
      </w:pPr>
      <w:r w:rsidRPr="00E81DB0">
        <w:rPr>
          <w:rFonts w:ascii="Arial" w:hAnsi="Arial" w:cs="Arial"/>
          <w:b/>
          <w:bCs/>
          <w:sz w:val="22"/>
          <w:szCs w:val="22"/>
        </w:rPr>
        <w:t>VA Response</w:t>
      </w:r>
      <w:r>
        <w:rPr>
          <w:rFonts w:ascii="Arial" w:hAnsi="Arial" w:cs="Arial"/>
          <w:sz w:val="22"/>
          <w:szCs w:val="22"/>
        </w:rPr>
        <w:t xml:space="preserve">: </w:t>
      </w:r>
      <w:r w:rsidRPr="00826115">
        <w:rPr>
          <w:rFonts w:ascii="Arial" w:hAnsi="Arial" w:cs="Arial"/>
          <w:sz w:val="22"/>
          <w:szCs w:val="22"/>
        </w:rPr>
        <w:t xml:space="preserve">VA </w:t>
      </w:r>
      <w:r w:rsidRPr="0007056D">
        <w:rPr>
          <w:rFonts w:ascii="Arial" w:hAnsi="Arial" w:cs="Arial"/>
          <w:sz w:val="22"/>
          <w:szCs w:val="22"/>
        </w:rPr>
        <w:t>is required to convene an annual meeting to report on use of the VA Program Comment. The annua</w:t>
      </w:r>
      <w:r w:rsidRPr="007566A0">
        <w:rPr>
          <w:rFonts w:ascii="Arial" w:hAnsi="Arial" w:cs="Arial"/>
          <w:sz w:val="22"/>
          <w:szCs w:val="22"/>
        </w:rPr>
        <w:t>l meeting include</w:t>
      </w:r>
      <w:r>
        <w:rPr>
          <w:rFonts w:ascii="Arial" w:hAnsi="Arial" w:cs="Arial"/>
          <w:sz w:val="22"/>
          <w:szCs w:val="22"/>
        </w:rPr>
        <w:t>s</w:t>
      </w:r>
      <w:r w:rsidRPr="007566A0">
        <w:rPr>
          <w:rFonts w:ascii="Arial" w:hAnsi="Arial" w:cs="Arial"/>
          <w:sz w:val="22"/>
          <w:szCs w:val="22"/>
        </w:rPr>
        <w:t xml:space="preserve"> the opportunity to discuss the composite list of VA properties provided during the Section 3 </w:t>
      </w:r>
      <w:r w:rsidRPr="003606EF">
        <w:rPr>
          <w:rFonts w:ascii="Arial" w:hAnsi="Arial" w:cs="Arial"/>
          <w:spacing w:val="-4"/>
          <w:sz w:val="22"/>
          <w:szCs w:val="22"/>
        </w:rPr>
        <w:t>consultation process.</w:t>
      </w:r>
      <w:r>
        <w:rPr>
          <w:rFonts w:ascii="Arial" w:hAnsi="Arial" w:cs="Arial"/>
          <w:spacing w:val="-4"/>
          <w:sz w:val="22"/>
          <w:szCs w:val="22"/>
        </w:rPr>
        <w:t xml:space="preserve"> All topics raised by the NTHP in its letter are welcome discussion at the annual meeting.</w:t>
      </w:r>
      <w:r w:rsidRPr="003606EF">
        <w:rPr>
          <w:rFonts w:ascii="Arial" w:hAnsi="Arial" w:cs="Arial"/>
          <w:spacing w:val="-4"/>
          <w:sz w:val="22"/>
          <w:szCs w:val="22"/>
        </w:rPr>
        <w:t xml:space="preserve"> VA anticipates</w:t>
      </w:r>
      <w:r>
        <w:rPr>
          <w:rFonts w:ascii="Arial" w:hAnsi="Arial" w:cs="Arial"/>
          <w:spacing w:val="-4"/>
          <w:sz w:val="22"/>
          <w:szCs w:val="22"/>
        </w:rPr>
        <w:t xml:space="preserve"> virtually</w:t>
      </w:r>
      <w:r w:rsidRPr="003606EF">
        <w:rPr>
          <w:rFonts w:ascii="Arial" w:hAnsi="Arial" w:cs="Arial"/>
          <w:spacing w:val="-4"/>
          <w:sz w:val="22"/>
          <w:szCs w:val="22"/>
        </w:rPr>
        <w:t xml:space="preserve"> convening </w:t>
      </w:r>
      <w:r>
        <w:rPr>
          <w:rFonts w:ascii="Arial" w:hAnsi="Arial" w:cs="Arial"/>
          <w:spacing w:val="-4"/>
          <w:sz w:val="22"/>
          <w:szCs w:val="22"/>
        </w:rPr>
        <w:t>its third</w:t>
      </w:r>
      <w:r w:rsidRPr="003606EF">
        <w:rPr>
          <w:rFonts w:ascii="Arial" w:hAnsi="Arial" w:cs="Arial"/>
          <w:spacing w:val="-4"/>
          <w:sz w:val="22"/>
          <w:szCs w:val="22"/>
        </w:rPr>
        <w:t xml:space="preserve"> annual meeting</w:t>
      </w:r>
      <w:r w:rsidRPr="007566A0">
        <w:rPr>
          <w:rFonts w:ascii="Arial" w:hAnsi="Arial" w:cs="Arial"/>
          <w:sz w:val="22"/>
          <w:szCs w:val="22"/>
        </w:rPr>
        <w:t xml:space="preserve"> </w:t>
      </w:r>
      <w:r>
        <w:rPr>
          <w:rFonts w:ascii="Arial" w:hAnsi="Arial" w:cs="Arial"/>
          <w:sz w:val="22"/>
          <w:szCs w:val="22"/>
        </w:rPr>
        <w:t>in late</w:t>
      </w:r>
      <w:r w:rsidRPr="007566A0">
        <w:rPr>
          <w:rFonts w:ascii="Arial" w:hAnsi="Arial" w:cs="Arial"/>
          <w:sz w:val="22"/>
          <w:szCs w:val="22"/>
        </w:rPr>
        <w:t xml:space="preserve"> 202</w:t>
      </w:r>
      <w:r>
        <w:rPr>
          <w:rFonts w:ascii="Arial" w:hAnsi="Arial" w:cs="Arial"/>
          <w:sz w:val="22"/>
          <w:szCs w:val="22"/>
        </w:rPr>
        <w:t xml:space="preserve">1. </w:t>
      </w:r>
      <w:r>
        <w:rPr>
          <w:rFonts w:ascii="Arial" w:hAnsi="Arial" w:cs="Arial"/>
          <w:spacing w:val="-4"/>
          <w:sz w:val="22"/>
          <w:szCs w:val="22"/>
        </w:rPr>
        <w:t xml:space="preserve">While VA does not plan to convene an additional meeting beyond the annual meeting, </w:t>
      </w:r>
      <w:r>
        <w:rPr>
          <w:rFonts w:ascii="Arial" w:hAnsi="Arial" w:cs="Arial"/>
          <w:sz w:val="22"/>
          <w:szCs w:val="22"/>
        </w:rPr>
        <w:t xml:space="preserve">any interested </w:t>
      </w:r>
      <w:r>
        <w:rPr>
          <w:rFonts w:ascii="Arial" w:hAnsi="Arial" w:cs="Arial"/>
          <w:sz w:val="22"/>
          <w:szCs w:val="22"/>
        </w:rPr>
        <w:lastRenderedPageBreak/>
        <w:t xml:space="preserve">party that wishes to discuss the list in greater detail is welcome to reach out to </w:t>
      </w:r>
      <w:hyperlink r:id="rId11" w:anchor=":~:text=The%20VA%20Historic%20Preservation%20Office,historic%20properties%20to%20serve%20Veterans." w:history="1">
        <w:r w:rsidRPr="0054419C">
          <w:rPr>
            <w:rStyle w:val="Hyperlink"/>
            <w:rFonts w:ascii="Arial" w:hAnsi="Arial" w:cs="Arial"/>
            <w:sz w:val="22"/>
            <w:szCs w:val="22"/>
          </w:rPr>
          <w:t>VA’s Historic Preservation Office</w:t>
        </w:r>
      </w:hyperlink>
      <w:r>
        <w:rPr>
          <w:rFonts w:ascii="Arial" w:hAnsi="Arial" w:cs="Arial"/>
          <w:sz w:val="22"/>
          <w:szCs w:val="22"/>
        </w:rPr>
        <w:t xml:space="preserve"> in advance of the annual meeting.</w:t>
      </w:r>
    </w:p>
    <w:p w:rsidR="00910750" w:rsidRPr="00826115" w:rsidRDefault="00910750" w:rsidP="00910750">
      <w:pPr>
        <w:rPr>
          <w:sz w:val="22"/>
          <w:szCs w:val="22"/>
        </w:rPr>
      </w:pPr>
    </w:p>
    <w:p w:rsidR="00910750" w:rsidRPr="00826115" w:rsidRDefault="00910750" w:rsidP="00910750">
      <w:pPr>
        <w:pStyle w:val="ListParagraph"/>
        <w:numPr>
          <w:ilvl w:val="0"/>
          <w:numId w:val="2"/>
        </w:numPr>
        <w:rPr>
          <w:rFonts w:ascii="Arial" w:hAnsi="Arial" w:cs="Arial"/>
          <w:sz w:val="22"/>
          <w:szCs w:val="22"/>
        </w:rPr>
      </w:pPr>
      <w:r w:rsidRPr="00826115">
        <w:rPr>
          <w:rFonts w:ascii="Arial" w:hAnsi="Arial" w:cs="Arial"/>
          <w:b/>
          <w:bCs/>
          <w:sz w:val="22"/>
          <w:szCs w:val="22"/>
        </w:rPr>
        <w:t xml:space="preserve">VA should </w:t>
      </w:r>
      <w:r w:rsidRPr="00D23024">
        <w:rPr>
          <w:rFonts w:ascii="Arial" w:hAnsi="Arial" w:cs="Arial"/>
          <w:b/>
          <w:bCs/>
          <w:sz w:val="22"/>
          <w:szCs w:val="22"/>
        </w:rPr>
        <w:t xml:space="preserve">continue </w:t>
      </w:r>
      <w:r>
        <w:rPr>
          <w:rFonts w:ascii="Arial" w:hAnsi="Arial" w:cs="Arial"/>
          <w:b/>
          <w:bCs/>
          <w:sz w:val="22"/>
          <w:szCs w:val="22"/>
        </w:rPr>
        <w:t xml:space="preserve">preservation measures for </w:t>
      </w:r>
      <w:r w:rsidRPr="00D23024">
        <w:rPr>
          <w:rFonts w:ascii="Arial" w:hAnsi="Arial" w:cs="Arial"/>
          <w:b/>
          <w:bCs/>
          <w:sz w:val="22"/>
          <w:szCs w:val="22"/>
        </w:rPr>
        <w:t>national c</w:t>
      </w:r>
      <w:r>
        <w:rPr>
          <w:rFonts w:ascii="Arial" w:hAnsi="Arial" w:cs="Arial"/>
          <w:b/>
          <w:bCs/>
          <w:sz w:val="22"/>
          <w:szCs w:val="22"/>
        </w:rPr>
        <w:t>emetery lodges</w:t>
      </w:r>
      <w:r w:rsidRPr="00826115">
        <w:rPr>
          <w:rFonts w:ascii="Arial" w:hAnsi="Arial" w:cs="Arial"/>
          <w:b/>
          <w:bCs/>
          <w:sz w:val="22"/>
          <w:szCs w:val="22"/>
        </w:rPr>
        <w:t>.</w:t>
      </w:r>
      <w:r w:rsidRPr="00826115">
        <w:rPr>
          <w:rFonts w:ascii="Arial" w:hAnsi="Arial" w:cs="Arial"/>
          <w:sz w:val="22"/>
          <w:szCs w:val="22"/>
        </w:rPr>
        <w:t xml:space="preserve"> The </w:t>
      </w:r>
      <w:r>
        <w:rPr>
          <w:rFonts w:ascii="Arial" w:hAnsi="Arial" w:cs="Arial"/>
          <w:sz w:val="22"/>
          <w:szCs w:val="22"/>
        </w:rPr>
        <w:t xml:space="preserve">Virginia </w:t>
      </w:r>
      <w:r w:rsidRPr="00826115">
        <w:rPr>
          <w:rFonts w:ascii="Arial" w:hAnsi="Arial" w:cs="Arial"/>
          <w:sz w:val="22"/>
          <w:szCs w:val="22"/>
        </w:rPr>
        <w:t xml:space="preserve">SHPO encouraged VA </w:t>
      </w:r>
      <w:r w:rsidRPr="00623225">
        <w:rPr>
          <w:rFonts w:ascii="Arial" w:hAnsi="Arial" w:cs="Arial"/>
          <w:sz w:val="22"/>
          <w:szCs w:val="22"/>
        </w:rPr>
        <w:t xml:space="preserve">to continue active preservation measures on </w:t>
      </w:r>
      <w:r>
        <w:rPr>
          <w:rFonts w:ascii="Arial" w:hAnsi="Arial" w:cs="Arial"/>
          <w:sz w:val="22"/>
          <w:szCs w:val="22"/>
        </w:rPr>
        <w:t xml:space="preserve">lodges in national cemeteries designed by Montgomery Meigs – some of which date to the 1870s – </w:t>
      </w:r>
      <w:r w:rsidRPr="00623225">
        <w:rPr>
          <w:rFonts w:ascii="Arial" w:hAnsi="Arial" w:cs="Arial"/>
          <w:sz w:val="22"/>
          <w:szCs w:val="22"/>
        </w:rPr>
        <w:t xml:space="preserve">and to find alternative uses that will extend their usefulness.  </w:t>
      </w:r>
      <w:r w:rsidRPr="00826115">
        <w:rPr>
          <w:rFonts w:ascii="Arial" w:hAnsi="Arial" w:cs="Arial"/>
          <w:sz w:val="22"/>
          <w:szCs w:val="22"/>
        </w:rPr>
        <w:br/>
      </w:r>
    </w:p>
    <w:p w:rsidR="00910750" w:rsidRPr="00826115" w:rsidRDefault="00910750" w:rsidP="00910750">
      <w:pPr>
        <w:pStyle w:val="ListParagraph"/>
        <w:numPr>
          <w:ilvl w:val="1"/>
          <w:numId w:val="2"/>
        </w:numPr>
        <w:rPr>
          <w:rFonts w:ascii="Arial" w:hAnsi="Arial" w:cs="Arial"/>
          <w:sz w:val="22"/>
          <w:szCs w:val="22"/>
        </w:rPr>
      </w:pPr>
      <w:r w:rsidRPr="00826115">
        <w:rPr>
          <w:rFonts w:ascii="Arial" w:hAnsi="Arial" w:cs="Arial"/>
          <w:b/>
          <w:sz w:val="22"/>
          <w:szCs w:val="22"/>
        </w:rPr>
        <w:t>VA Response</w:t>
      </w:r>
      <w:r>
        <w:rPr>
          <w:rFonts w:ascii="Arial" w:hAnsi="Arial" w:cs="Arial"/>
          <w:sz w:val="22"/>
          <w:szCs w:val="22"/>
        </w:rPr>
        <w:t xml:space="preserve">: </w:t>
      </w:r>
      <w:r w:rsidRPr="00DF7D4F">
        <w:rPr>
          <w:rFonts w:ascii="Arial" w:hAnsi="Arial" w:cs="Arial"/>
          <w:sz w:val="22"/>
          <w:szCs w:val="22"/>
        </w:rPr>
        <w:t xml:space="preserve">As mentioned in VA’s most recent Preserve America Section 3 Report (September 2020), NCA has entered into an Interagency Agreement with the US Army Corps of Engineers on a multi-lodge rehabilitation project. Many lodges designed by Montgomery Meigs are included in this agreement. In Virginia, </w:t>
      </w:r>
      <w:r>
        <w:rPr>
          <w:rFonts w:ascii="Arial" w:hAnsi="Arial" w:cs="Arial"/>
          <w:sz w:val="22"/>
          <w:szCs w:val="22"/>
        </w:rPr>
        <w:t>th</w:t>
      </w:r>
      <w:r w:rsidRPr="00DF7D4F">
        <w:rPr>
          <w:rFonts w:ascii="Arial" w:hAnsi="Arial" w:cs="Arial"/>
          <w:sz w:val="22"/>
          <w:szCs w:val="22"/>
        </w:rPr>
        <w:t>e Glendale National Cemetery lodge</w:t>
      </w:r>
      <w:r>
        <w:rPr>
          <w:rFonts w:ascii="Arial" w:hAnsi="Arial" w:cs="Arial"/>
          <w:sz w:val="22"/>
          <w:szCs w:val="22"/>
        </w:rPr>
        <w:t xml:space="preserve"> is part of this initiative</w:t>
      </w:r>
      <w:r w:rsidRPr="00DF7D4F">
        <w:rPr>
          <w:rFonts w:ascii="Arial" w:hAnsi="Arial" w:cs="Arial"/>
          <w:sz w:val="22"/>
          <w:szCs w:val="22"/>
        </w:rPr>
        <w:t>; at the Richmond National Cemetery lodge NCA recently updated the appliances and plumbing fixtures in anticipation of securing a new tenant.</w:t>
      </w:r>
      <w:r>
        <w:rPr>
          <w:rFonts w:ascii="Arial" w:hAnsi="Arial" w:cs="Arial"/>
          <w:sz w:val="22"/>
          <w:szCs w:val="22"/>
        </w:rPr>
        <w:t xml:space="preserve"> </w:t>
      </w:r>
    </w:p>
    <w:p w:rsidR="00910750" w:rsidRPr="0007056D" w:rsidRDefault="00910750" w:rsidP="00910750">
      <w:pPr>
        <w:pStyle w:val="ListParagraph"/>
        <w:ind w:left="0"/>
        <w:rPr>
          <w:rFonts w:ascii="Arial" w:hAnsi="Arial" w:cs="Arial"/>
          <w:b/>
          <w:bCs/>
          <w:sz w:val="22"/>
          <w:szCs w:val="22"/>
        </w:rPr>
      </w:pPr>
    </w:p>
    <w:p w:rsidR="00910750" w:rsidRDefault="00910750" w:rsidP="00910750">
      <w:pPr>
        <w:pStyle w:val="ListParagraph"/>
        <w:numPr>
          <w:ilvl w:val="0"/>
          <w:numId w:val="2"/>
        </w:numPr>
        <w:rPr>
          <w:rFonts w:ascii="Arial" w:hAnsi="Arial" w:cs="Arial"/>
          <w:b/>
          <w:bCs/>
          <w:sz w:val="22"/>
          <w:szCs w:val="22"/>
        </w:rPr>
      </w:pPr>
      <w:r>
        <w:rPr>
          <w:rFonts w:ascii="Arial" w:hAnsi="Arial" w:cs="Arial"/>
          <w:b/>
          <w:bCs/>
          <w:sz w:val="22"/>
          <w:szCs w:val="22"/>
        </w:rPr>
        <w:t xml:space="preserve">Demolition of historic buildings will result in an adverse effect. </w:t>
      </w:r>
      <w:r>
        <w:rPr>
          <w:rFonts w:ascii="Arial" w:hAnsi="Arial" w:cs="Arial"/>
          <w:sz w:val="22"/>
          <w:szCs w:val="22"/>
        </w:rPr>
        <w:t xml:space="preserve">The Colorado (CO) SHPO noted that Buildings 1 and 4 at the Denver VA Medical Center (VAMC) are contributing to a historic district, and demolition of these buildings would result in an adverse effect to the district. </w:t>
      </w:r>
    </w:p>
    <w:p w:rsidR="00910750" w:rsidRDefault="00910750" w:rsidP="00910750">
      <w:pPr>
        <w:pStyle w:val="ListParagraph"/>
        <w:rPr>
          <w:rFonts w:ascii="Arial" w:hAnsi="Arial" w:cs="Arial"/>
          <w:b/>
          <w:bCs/>
          <w:sz w:val="22"/>
          <w:szCs w:val="22"/>
        </w:rPr>
      </w:pPr>
    </w:p>
    <w:p w:rsidR="00910750" w:rsidRDefault="00910750" w:rsidP="00910750">
      <w:pPr>
        <w:pStyle w:val="ListParagraph"/>
        <w:numPr>
          <w:ilvl w:val="1"/>
          <w:numId w:val="2"/>
        </w:numPr>
        <w:rPr>
          <w:rFonts w:ascii="Arial" w:hAnsi="Arial" w:cs="Arial"/>
          <w:b/>
          <w:bCs/>
          <w:sz w:val="22"/>
          <w:szCs w:val="22"/>
        </w:rPr>
      </w:pPr>
      <w:r>
        <w:rPr>
          <w:rFonts w:ascii="Arial" w:hAnsi="Arial" w:cs="Arial"/>
          <w:b/>
          <w:bCs/>
          <w:sz w:val="22"/>
          <w:szCs w:val="22"/>
        </w:rPr>
        <w:t xml:space="preserve">VA Response: </w:t>
      </w:r>
      <w:r>
        <w:rPr>
          <w:rFonts w:ascii="Arial" w:hAnsi="Arial" w:cs="Arial"/>
          <w:sz w:val="22"/>
          <w:szCs w:val="22"/>
        </w:rPr>
        <w:t>VA has reported Buildings 1 and 4 at the Denver VAMC as excess to the General Services Administration (GSA), which is the lead federal agency for the property disposal. Section 106 consultation, in which the CO SHPO is participating, is ongoing. It is anticipated that a memorandum of agreement will be executed to resolve adverse effects.</w:t>
      </w:r>
    </w:p>
    <w:p w:rsidR="00910750" w:rsidRDefault="00910750" w:rsidP="00910750">
      <w:pPr>
        <w:pStyle w:val="ListParagraph"/>
        <w:ind w:left="1440"/>
        <w:rPr>
          <w:rFonts w:ascii="Arial" w:hAnsi="Arial" w:cs="Arial"/>
          <w:b/>
          <w:bCs/>
          <w:sz w:val="22"/>
          <w:szCs w:val="22"/>
        </w:rPr>
      </w:pPr>
    </w:p>
    <w:p w:rsidR="00910750" w:rsidRPr="00857BC2" w:rsidRDefault="00910750" w:rsidP="00910750">
      <w:pPr>
        <w:pStyle w:val="ListParagraph"/>
        <w:numPr>
          <w:ilvl w:val="0"/>
          <w:numId w:val="2"/>
        </w:numPr>
        <w:rPr>
          <w:rFonts w:ascii="Arial" w:hAnsi="Arial" w:cs="Arial"/>
          <w:b/>
          <w:bCs/>
          <w:sz w:val="22"/>
          <w:szCs w:val="22"/>
        </w:rPr>
      </w:pPr>
      <w:r w:rsidRPr="00857BC2">
        <w:rPr>
          <w:rFonts w:ascii="Arial" w:hAnsi="Arial" w:cs="Arial"/>
          <w:b/>
          <w:bCs/>
          <w:sz w:val="22"/>
          <w:szCs w:val="22"/>
        </w:rPr>
        <w:t>The NTHP asked for additional information about the specific disposition of 11 historic buildings that were taken off the 2020 list via property disposal.</w:t>
      </w:r>
    </w:p>
    <w:p w:rsidR="00910750" w:rsidRPr="000258FA" w:rsidRDefault="00910750" w:rsidP="00910750">
      <w:pPr>
        <w:pStyle w:val="ListParagraph"/>
        <w:rPr>
          <w:rFonts w:ascii="Arial" w:hAnsi="Arial" w:cs="Arial"/>
          <w:sz w:val="22"/>
          <w:szCs w:val="22"/>
        </w:rPr>
      </w:pPr>
    </w:p>
    <w:p w:rsidR="00910750" w:rsidRPr="000258FA" w:rsidRDefault="00910750" w:rsidP="00910750">
      <w:pPr>
        <w:pStyle w:val="ListParagraph"/>
        <w:numPr>
          <w:ilvl w:val="1"/>
          <w:numId w:val="2"/>
        </w:numPr>
        <w:rPr>
          <w:rFonts w:ascii="Arial" w:hAnsi="Arial" w:cs="Arial"/>
          <w:sz w:val="22"/>
          <w:szCs w:val="22"/>
        </w:rPr>
      </w:pPr>
      <w:r w:rsidRPr="00A350F9">
        <w:rPr>
          <w:rFonts w:ascii="Arial" w:hAnsi="Arial" w:cs="Arial"/>
          <w:b/>
          <w:sz w:val="22"/>
          <w:szCs w:val="22"/>
        </w:rPr>
        <w:t>VA Response:</w:t>
      </w:r>
      <w:r w:rsidRPr="000258FA">
        <w:rPr>
          <w:rFonts w:ascii="Arial" w:hAnsi="Arial" w:cs="Arial"/>
          <w:sz w:val="22"/>
          <w:szCs w:val="22"/>
        </w:rPr>
        <w:t xml:space="preserve"> These </w:t>
      </w:r>
      <w:r>
        <w:rPr>
          <w:rFonts w:ascii="Arial" w:hAnsi="Arial" w:cs="Arial"/>
          <w:sz w:val="22"/>
          <w:szCs w:val="22"/>
        </w:rPr>
        <w:t xml:space="preserve">11 </w:t>
      </w:r>
      <w:r w:rsidRPr="000258FA">
        <w:rPr>
          <w:rFonts w:ascii="Arial" w:hAnsi="Arial" w:cs="Arial"/>
          <w:sz w:val="22"/>
          <w:szCs w:val="22"/>
        </w:rPr>
        <w:t xml:space="preserve">buildings </w:t>
      </w:r>
      <w:r>
        <w:rPr>
          <w:rFonts w:ascii="Arial" w:hAnsi="Arial" w:cs="Arial"/>
          <w:sz w:val="22"/>
          <w:szCs w:val="22"/>
        </w:rPr>
        <w:t>were</w:t>
      </w:r>
      <w:r w:rsidRPr="000258FA">
        <w:rPr>
          <w:rFonts w:ascii="Arial" w:hAnsi="Arial" w:cs="Arial"/>
          <w:sz w:val="22"/>
          <w:szCs w:val="22"/>
        </w:rPr>
        <w:t xml:space="preserve"> subject to</w:t>
      </w:r>
      <w:r>
        <w:rPr>
          <w:rFonts w:ascii="Arial" w:hAnsi="Arial" w:cs="Arial"/>
          <w:sz w:val="22"/>
          <w:szCs w:val="22"/>
        </w:rPr>
        <w:t xml:space="preserve"> executed</w:t>
      </w:r>
      <w:r w:rsidRPr="000258FA">
        <w:rPr>
          <w:rFonts w:ascii="Arial" w:hAnsi="Arial" w:cs="Arial"/>
          <w:sz w:val="22"/>
          <w:szCs w:val="22"/>
        </w:rPr>
        <w:t xml:space="preserve"> </w:t>
      </w:r>
      <w:r>
        <w:rPr>
          <w:rFonts w:ascii="Arial" w:hAnsi="Arial" w:cs="Arial"/>
          <w:sz w:val="22"/>
          <w:szCs w:val="22"/>
        </w:rPr>
        <w:t xml:space="preserve">Section 106 </w:t>
      </w:r>
      <w:r w:rsidRPr="000258FA">
        <w:rPr>
          <w:rFonts w:ascii="Arial" w:hAnsi="Arial" w:cs="Arial"/>
          <w:sz w:val="22"/>
          <w:szCs w:val="22"/>
        </w:rPr>
        <w:t>agreements</w:t>
      </w:r>
      <w:r>
        <w:rPr>
          <w:rFonts w:ascii="Arial" w:hAnsi="Arial" w:cs="Arial"/>
          <w:sz w:val="22"/>
          <w:szCs w:val="22"/>
        </w:rPr>
        <w:t xml:space="preserve"> and have been demolished</w:t>
      </w:r>
      <w:r w:rsidRPr="000258FA">
        <w:rPr>
          <w:rFonts w:ascii="Arial" w:hAnsi="Arial" w:cs="Arial"/>
          <w:sz w:val="22"/>
          <w:szCs w:val="22"/>
        </w:rPr>
        <w:t xml:space="preserve">: </w:t>
      </w:r>
    </w:p>
    <w:p w:rsidR="00910750" w:rsidRPr="000258FA" w:rsidRDefault="00910750" w:rsidP="00910750">
      <w:pPr>
        <w:pStyle w:val="ListParagraph"/>
        <w:numPr>
          <w:ilvl w:val="2"/>
          <w:numId w:val="2"/>
        </w:numPr>
        <w:rPr>
          <w:rFonts w:ascii="Arial" w:hAnsi="Arial" w:cs="Arial"/>
          <w:sz w:val="22"/>
          <w:szCs w:val="22"/>
        </w:rPr>
      </w:pPr>
      <w:r w:rsidRPr="000258FA">
        <w:rPr>
          <w:rFonts w:ascii="Arial" w:hAnsi="Arial" w:cs="Arial"/>
          <w:sz w:val="22"/>
          <w:szCs w:val="22"/>
        </w:rPr>
        <w:t>Hampton, VA, B52 (</w:t>
      </w:r>
      <w:hyperlink r:id="rId12" w:history="1">
        <w:r w:rsidRPr="000258FA">
          <w:rPr>
            <w:rStyle w:val="Hyperlink"/>
            <w:rFonts w:ascii="Arial" w:hAnsi="Arial" w:cs="Arial"/>
            <w:sz w:val="22"/>
            <w:szCs w:val="22"/>
          </w:rPr>
          <w:t>PA</w:t>
        </w:r>
      </w:hyperlink>
      <w:r>
        <w:rPr>
          <w:rFonts w:ascii="Arial" w:hAnsi="Arial" w:cs="Arial"/>
          <w:sz w:val="22"/>
          <w:szCs w:val="22"/>
        </w:rPr>
        <w:t>, 2020</w:t>
      </w:r>
      <w:r w:rsidRPr="000258FA">
        <w:rPr>
          <w:rFonts w:ascii="Arial" w:hAnsi="Arial" w:cs="Arial"/>
          <w:sz w:val="22"/>
          <w:szCs w:val="22"/>
        </w:rPr>
        <w:t>) and B71 (</w:t>
      </w:r>
      <w:hyperlink r:id="rId13" w:history="1">
        <w:r w:rsidRPr="000258FA">
          <w:rPr>
            <w:rStyle w:val="Hyperlink"/>
            <w:rFonts w:ascii="Arial" w:hAnsi="Arial" w:cs="Arial"/>
            <w:sz w:val="22"/>
            <w:szCs w:val="22"/>
          </w:rPr>
          <w:t>M</w:t>
        </w:r>
        <w:r w:rsidRPr="000258FA">
          <w:rPr>
            <w:rStyle w:val="Hyperlink"/>
            <w:rFonts w:ascii="Arial" w:hAnsi="Arial" w:cs="Arial"/>
            <w:sz w:val="22"/>
            <w:szCs w:val="22"/>
          </w:rPr>
          <w:t>O</w:t>
        </w:r>
        <w:r w:rsidRPr="000258FA">
          <w:rPr>
            <w:rStyle w:val="Hyperlink"/>
            <w:rFonts w:ascii="Arial" w:hAnsi="Arial" w:cs="Arial"/>
            <w:sz w:val="22"/>
            <w:szCs w:val="22"/>
          </w:rPr>
          <w:t>A</w:t>
        </w:r>
      </w:hyperlink>
      <w:r>
        <w:rPr>
          <w:rFonts w:ascii="Arial" w:hAnsi="Arial" w:cs="Arial"/>
          <w:sz w:val="22"/>
          <w:szCs w:val="22"/>
        </w:rPr>
        <w:t>, 2017</w:t>
      </w:r>
      <w:r w:rsidRPr="000258FA">
        <w:rPr>
          <w:rFonts w:ascii="Arial" w:hAnsi="Arial" w:cs="Arial"/>
          <w:sz w:val="22"/>
          <w:szCs w:val="22"/>
        </w:rPr>
        <w:t>)</w:t>
      </w:r>
    </w:p>
    <w:p w:rsidR="00910750" w:rsidRPr="000258FA" w:rsidRDefault="00910750" w:rsidP="00910750">
      <w:pPr>
        <w:pStyle w:val="ListParagraph"/>
        <w:numPr>
          <w:ilvl w:val="2"/>
          <w:numId w:val="2"/>
        </w:numPr>
        <w:rPr>
          <w:rFonts w:ascii="Arial" w:hAnsi="Arial" w:cs="Arial"/>
          <w:sz w:val="22"/>
          <w:szCs w:val="22"/>
        </w:rPr>
      </w:pPr>
      <w:r w:rsidRPr="000258FA">
        <w:rPr>
          <w:rFonts w:ascii="Arial" w:hAnsi="Arial" w:cs="Arial"/>
          <w:sz w:val="22"/>
          <w:szCs w:val="22"/>
        </w:rPr>
        <w:t>Marion, IN, B10, 11, 18, 24, 60, 75, and 95 (</w:t>
      </w:r>
      <w:hyperlink r:id="rId14" w:history="1">
        <w:r w:rsidRPr="00857BC2">
          <w:rPr>
            <w:rStyle w:val="Hyperlink"/>
            <w:rFonts w:ascii="Arial" w:hAnsi="Arial" w:cs="Arial"/>
            <w:sz w:val="22"/>
            <w:szCs w:val="22"/>
          </w:rPr>
          <w:t>MOA</w:t>
        </w:r>
      </w:hyperlink>
      <w:r>
        <w:rPr>
          <w:rFonts w:ascii="Arial" w:hAnsi="Arial" w:cs="Arial"/>
          <w:sz w:val="22"/>
          <w:szCs w:val="22"/>
        </w:rPr>
        <w:t xml:space="preserve">, 2001,  </w:t>
      </w:r>
      <w:hyperlink r:id="rId15" w:history="1">
        <w:r w:rsidRPr="00A350F9">
          <w:rPr>
            <w:rStyle w:val="Hyperlink"/>
            <w:rFonts w:ascii="Arial" w:hAnsi="Arial" w:cs="Arial"/>
            <w:sz w:val="22"/>
            <w:szCs w:val="22"/>
          </w:rPr>
          <w:t>amended</w:t>
        </w:r>
      </w:hyperlink>
      <w:r>
        <w:rPr>
          <w:rFonts w:ascii="Arial" w:hAnsi="Arial" w:cs="Arial"/>
          <w:sz w:val="22"/>
          <w:szCs w:val="22"/>
        </w:rPr>
        <w:t>, 2009</w:t>
      </w:r>
      <w:r w:rsidRPr="000258FA">
        <w:rPr>
          <w:rFonts w:ascii="Arial" w:hAnsi="Arial" w:cs="Arial"/>
          <w:sz w:val="22"/>
          <w:szCs w:val="22"/>
        </w:rPr>
        <w:t>)</w:t>
      </w:r>
    </w:p>
    <w:p w:rsidR="00910750" w:rsidRPr="000258FA" w:rsidRDefault="00910750" w:rsidP="00910750">
      <w:pPr>
        <w:pStyle w:val="ListParagraph"/>
        <w:numPr>
          <w:ilvl w:val="2"/>
          <w:numId w:val="2"/>
        </w:numPr>
        <w:rPr>
          <w:rFonts w:ascii="Arial" w:hAnsi="Arial" w:cs="Arial"/>
          <w:sz w:val="22"/>
          <w:szCs w:val="22"/>
        </w:rPr>
      </w:pPr>
      <w:r w:rsidRPr="000258FA">
        <w:rPr>
          <w:rFonts w:ascii="Arial" w:hAnsi="Arial" w:cs="Arial"/>
          <w:sz w:val="22"/>
          <w:szCs w:val="22"/>
        </w:rPr>
        <w:t>Northampton, MA, B19 (</w:t>
      </w:r>
      <w:hyperlink r:id="rId16" w:history="1">
        <w:r w:rsidRPr="00857BC2">
          <w:rPr>
            <w:rStyle w:val="Hyperlink"/>
            <w:rFonts w:ascii="Arial" w:hAnsi="Arial" w:cs="Arial"/>
            <w:sz w:val="22"/>
            <w:szCs w:val="22"/>
          </w:rPr>
          <w:t>MOA</w:t>
        </w:r>
      </w:hyperlink>
      <w:r>
        <w:rPr>
          <w:rFonts w:ascii="Arial" w:hAnsi="Arial" w:cs="Arial"/>
          <w:sz w:val="22"/>
          <w:szCs w:val="22"/>
        </w:rPr>
        <w:t>, 2019</w:t>
      </w:r>
      <w:r w:rsidRPr="000258FA">
        <w:rPr>
          <w:rFonts w:ascii="Arial" w:hAnsi="Arial" w:cs="Arial"/>
          <w:sz w:val="22"/>
          <w:szCs w:val="22"/>
        </w:rPr>
        <w:t>)</w:t>
      </w:r>
      <w:r>
        <w:rPr>
          <w:rFonts w:ascii="Arial" w:hAnsi="Arial" w:cs="Arial"/>
          <w:sz w:val="22"/>
          <w:szCs w:val="22"/>
        </w:rPr>
        <w:t xml:space="preserve"> and </w:t>
      </w:r>
      <w:r w:rsidRPr="00857BC2">
        <w:rPr>
          <w:rFonts w:ascii="Arial" w:hAnsi="Arial" w:cs="Arial"/>
          <w:sz w:val="22"/>
          <w:szCs w:val="22"/>
        </w:rPr>
        <w:t>27</w:t>
      </w:r>
      <w:r>
        <w:rPr>
          <w:rFonts w:ascii="Arial" w:hAnsi="Arial" w:cs="Arial"/>
          <w:sz w:val="22"/>
          <w:szCs w:val="22"/>
        </w:rPr>
        <w:t xml:space="preserve"> (</w:t>
      </w:r>
      <w:hyperlink r:id="rId17" w:history="1">
        <w:r w:rsidRPr="00857BC2">
          <w:rPr>
            <w:rStyle w:val="Hyperlink"/>
            <w:rFonts w:ascii="Arial" w:hAnsi="Arial" w:cs="Arial"/>
            <w:sz w:val="22"/>
            <w:szCs w:val="22"/>
          </w:rPr>
          <w:t>MOA</w:t>
        </w:r>
      </w:hyperlink>
      <w:r>
        <w:rPr>
          <w:rFonts w:ascii="Arial" w:hAnsi="Arial" w:cs="Arial"/>
          <w:sz w:val="22"/>
          <w:szCs w:val="22"/>
        </w:rPr>
        <w:t>, 2018)</w:t>
      </w:r>
    </w:p>
    <w:p w:rsidR="00910750" w:rsidRPr="003606EF" w:rsidRDefault="00910750" w:rsidP="00910750">
      <w:pPr>
        <w:pStyle w:val="ListParagraph"/>
        <w:ind w:left="0"/>
        <w:rPr>
          <w:rFonts w:ascii="Arial" w:hAnsi="Arial" w:cs="Arial"/>
          <w:b/>
          <w:bCs/>
          <w:sz w:val="22"/>
          <w:szCs w:val="22"/>
        </w:rPr>
      </w:pPr>
    </w:p>
    <w:p w:rsidR="00910750" w:rsidRPr="0048520A" w:rsidRDefault="00910750" w:rsidP="00910750">
      <w:pPr>
        <w:pStyle w:val="ListParagraph"/>
        <w:numPr>
          <w:ilvl w:val="0"/>
          <w:numId w:val="2"/>
        </w:numPr>
        <w:rPr>
          <w:sz w:val="22"/>
          <w:szCs w:val="22"/>
        </w:rPr>
      </w:pPr>
      <w:r>
        <w:rPr>
          <w:rFonts w:ascii="Arial" w:hAnsi="Arial" w:cs="Arial"/>
          <w:b/>
          <w:bCs/>
          <w:sz w:val="22"/>
          <w:szCs w:val="22"/>
        </w:rPr>
        <w:t>The NTHP noted that it was</w:t>
      </w:r>
      <w:r w:rsidRPr="00A350F9">
        <w:rPr>
          <w:rFonts w:ascii="Arial" w:hAnsi="Arial" w:cs="Arial"/>
          <w:b/>
          <w:bCs/>
          <w:sz w:val="22"/>
          <w:szCs w:val="22"/>
        </w:rPr>
        <w:t xml:space="preserve"> not clear how to identify which of the listed properties were</w:t>
      </w:r>
      <w:r>
        <w:rPr>
          <w:rFonts w:ascii="Arial" w:hAnsi="Arial" w:cs="Arial"/>
          <w:b/>
          <w:bCs/>
          <w:sz w:val="22"/>
          <w:szCs w:val="22"/>
        </w:rPr>
        <w:t xml:space="preserve"> newly added this year, and that p</w:t>
      </w:r>
      <w:r w:rsidRPr="005145E5">
        <w:rPr>
          <w:rFonts w:ascii="Arial" w:hAnsi="Arial" w:cs="Arial"/>
          <w:b/>
          <w:bCs/>
          <w:sz w:val="22"/>
          <w:szCs w:val="22"/>
        </w:rPr>
        <w:t>resumably, the new listings would be properties that have only been vacant or underutilized for two years, since those with a longer vacancy or underutilization status would have been previously added to the list.</w:t>
      </w:r>
      <w:r>
        <w:rPr>
          <w:rFonts w:ascii="Arial" w:hAnsi="Arial" w:cs="Arial"/>
          <w:b/>
          <w:bCs/>
          <w:sz w:val="22"/>
          <w:szCs w:val="22"/>
        </w:rPr>
        <w:br/>
      </w:r>
    </w:p>
    <w:p w:rsidR="00910750" w:rsidRPr="005145E5" w:rsidRDefault="00910750" w:rsidP="00910750">
      <w:pPr>
        <w:numPr>
          <w:ilvl w:val="1"/>
          <w:numId w:val="2"/>
        </w:numPr>
        <w:rPr>
          <w:rFonts w:eastAsia="Calibri"/>
          <w:bCs/>
          <w:sz w:val="22"/>
          <w:szCs w:val="22"/>
        </w:rPr>
      </w:pPr>
      <w:r w:rsidRPr="005145E5">
        <w:rPr>
          <w:b/>
          <w:sz w:val="22"/>
          <w:szCs w:val="22"/>
        </w:rPr>
        <w:t>VA Response:</w:t>
      </w:r>
      <w:r>
        <w:rPr>
          <w:sz w:val="22"/>
          <w:szCs w:val="22"/>
        </w:rPr>
        <w:t xml:space="preserve"> Correct. Of the properties newly added to this year’s list, 26 are identified through their listed vacancy of two years. Properties with vacancies greater than two years newly added to this year’s list were erroneously omitted from prior lists. Corrections to the data in VA’s </w:t>
      </w:r>
      <w:r>
        <w:rPr>
          <w:sz w:val="22"/>
          <w:szCs w:val="22"/>
        </w:rPr>
        <w:lastRenderedPageBreak/>
        <w:t>Capital Asset Inventory (CAI) have led to their addition to this year’s list. These include:</w:t>
      </w:r>
    </w:p>
    <w:p w:rsidR="00910750" w:rsidRPr="00E75AB2" w:rsidRDefault="00910750" w:rsidP="00910750">
      <w:pPr>
        <w:numPr>
          <w:ilvl w:val="2"/>
          <w:numId w:val="2"/>
        </w:numPr>
        <w:rPr>
          <w:rFonts w:eastAsia="Calibri"/>
          <w:bCs/>
          <w:sz w:val="22"/>
          <w:szCs w:val="22"/>
        </w:rPr>
      </w:pPr>
      <w:r>
        <w:rPr>
          <w:sz w:val="22"/>
          <w:szCs w:val="22"/>
        </w:rPr>
        <w:t>Battle Creek, MI – Building 83</w:t>
      </w:r>
    </w:p>
    <w:p w:rsidR="00910750" w:rsidRPr="00E75AB2" w:rsidRDefault="00910750" w:rsidP="00910750">
      <w:pPr>
        <w:numPr>
          <w:ilvl w:val="2"/>
          <w:numId w:val="2"/>
        </w:numPr>
        <w:rPr>
          <w:rFonts w:eastAsia="Calibri"/>
          <w:bCs/>
          <w:sz w:val="22"/>
          <w:szCs w:val="22"/>
        </w:rPr>
      </w:pPr>
      <w:r>
        <w:rPr>
          <w:sz w:val="22"/>
          <w:szCs w:val="22"/>
        </w:rPr>
        <w:t>Bedford, MA – Building 8</w:t>
      </w:r>
    </w:p>
    <w:p w:rsidR="00910750" w:rsidRPr="00E75AB2" w:rsidRDefault="00910750" w:rsidP="00910750">
      <w:pPr>
        <w:numPr>
          <w:ilvl w:val="2"/>
          <w:numId w:val="2"/>
        </w:numPr>
        <w:rPr>
          <w:rFonts w:eastAsia="Calibri"/>
          <w:bCs/>
          <w:sz w:val="22"/>
          <w:szCs w:val="22"/>
        </w:rPr>
      </w:pPr>
      <w:r>
        <w:rPr>
          <w:sz w:val="22"/>
          <w:szCs w:val="22"/>
        </w:rPr>
        <w:t>Castle Point, NY – Building 21</w:t>
      </w:r>
    </w:p>
    <w:p w:rsidR="00910750" w:rsidRPr="00E75AB2" w:rsidRDefault="00910750" w:rsidP="00910750">
      <w:pPr>
        <w:numPr>
          <w:ilvl w:val="2"/>
          <w:numId w:val="2"/>
        </w:numPr>
        <w:rPr>
          <w:rFonts w:eastAsia="Calibri"/>
          <w:bCs/>
          <w:sz w:val="22"/>
          <w:szCs w:val="22"/>
        </w:rPr>
      </w:pPr>
      <w:r>
        <w:rPr>
          <w:sz w:val="22"/>
          <w:szCs w:val="22"/>
        </w:rPr>
        <w:t>Marion, IN – Building 120</w:t>
      </w:r>
    </w:p>
    <w:p w:rsidR="00910750" w:rsidRPr="00B31261" w:rsidRDefault="00910750" w:rsidP="00910750">
      <w:pPr>
        <w:numPr>
          <w:ilvl w:val="2"/>
          <w:numId w:val="2"/>
        </w:numPr>
        <w:rPr>
          <w:rFonts w:eastAsia="Calibri"/>
          <w:bCs/>
          <w:sz w:val="22"/>
          <w:szCs w:val="22"/>
        </w:rPr>
      </w:pPr>
      <w:r>
        <w:rPr>
          <w:sz w:val="22"/>
          <w:szCs w:val="22"/>
        </w:rPr>
        <w:t>Prescott, AZ – Buildings 1, 3, and 6</w:t>
      </w:r>
      <w:r>
        <w:rPr>
          <w:sz w:val="22"/>
          <w:szCs w:val="22"/>
        </w:rPr>
        <w:br/>
      </w:r>
    </w:p>
    <w:p w:rsidR="00910750" w:rsidRPr="00B31261" w:rsidRDefault="00910750" w:rsidP="00910750">
      <w:pPr>
        <w:numPr>
          <w:ilvl w:val="0"/>
          <w:numId w:val="2"/>
        </w:numPr>
        <w:rPr>
          <w:rFonts w:eastAsia="Calibri"/>
          <w:b/>
          <w:bCs/>
          <w:sz w:val="22"/>
          <w:szCs w:val="22"/>
        </w:rPr>
      </w:pPr>
      <w:bookmarkStart w:id="1" w:name="_Hlk82682123"/>
      <w:r w:rsidRPr="00B31261">
        <w:rPr>
          <w:b/>
          <w:sz w:val="22"/>
          <w:szCs w:val="22"/>
        </w:rPr>
        <w:t xml:space="preserve">The </w:t>
      </w:r>
      <w:r>
        <w:rPr>
          <w:b/>
          <w:sz w:val="22"/>
          <w:szCs w:val="22"/>
        </w:rPr>
        <w:t xml:space="preserve">AL SHPO and </w:t>
      </w:r>
      <w:r w:rsidRPr="00B31261">
        <w:rPr>
          <w:b/>
          <w:sz w:val="22"/>
          <w:szCs w:val="22"/>
        </w:rPr>
        <w:t xml:space="preserve">NTHP noted </w:t>
      </w:r>
      <w:r>
        <w:rPr>
          <w:b/>
          <w:sz w:val="22"/>
          <w:szCs w:val="22"/>
        </w:rPr>
        <w:t>concerns</w:t>
      </w:r>
      <w:r w:rsidRPr="00B31261">
        <w:rPr>
          <w:b/>
          <w:sz w:val="22"/>
          <w:szCs w:val="22"/>
        </w:rPr>
        <w:t xml:space="preserve"> about the condition of </w:t>
      </w:r>
      <w:r>
        <w:rPr>
          <w:b/>
          <w:sz w:val="22"/>
          <w:szCs w:val="22"/>
        </w:rPr>
        <w:t>the Central Alabama VA Health Care System Tuskegee, AL campus</w:t>
      </w:r>
      <w:r w:rsidRPr="00B31261">
        <w:rPr>
          <w:b/>
          <w:sz w:val="22"/>
          <w:szCs w:val="22"/>
        </w:rPr>
        <w:t xml:space="preserve"> and</w:t>
      </w:r>
      <w:r>
        <w:rPr>
          <w:b/>
          <w:sz w:val="22"/>
          <w:szCs w:val="22"/>
        </w:rPr>
        <w:t xml:space="preserve"> large number of vacant buildings at the campus.  </w:t>
      </w:r>
      <w:r w:rsidRPr="00B31261">
        <w:rPr>
          <w:b/>
          <w:sz w:val="22"/>
          <w:szCs w:val="22"/>
        </w:rPr>
        <w:t xml:space="preserve">The </w:t>
      </w:r>
      <w:r>
        <w:rPr>
          <w:b/>
          <w:sz w:val="22"/>
          <w:szCs w:val="22"/>
        </w:rPr>
        <w:t xml:space="preserve">NTHP </w:t>
      </w:r>
      <w:r w:rsidRPr="00B31261">
        <w:rPr>
          <w:b/>
          <w:sz w:val="22"/>
          <w:szCs w:val="22"/>
        </w:rPr>
        <w:t>encourage</w:t>
      </w:r>
      <w:r>
        <w:rPr>
          <w:b/>
          <w:sz w:val="22"/>
          <w:szCs w:val="22"/>
        </w:rPr>
        <w:t>d</w:t>
      </w:r>
      <w:r w:rsidRPr="00B31261">
        <w:rPr>
          <w:b/>
          <w:sz w:val="22"/>
          <w:szCs w:val="22"/>
        </w:rPr>
        <w:t xml:space="preserve"> VA to seek alternatives for rehabilitation and reuse</w:t>
      </w:r>
      <w:r>
        <w:rPr>
          <w:b/>
          <w:sz w:val="22"/>
          <w:szCs w:val="22"/>
        </w:rPr>
        <w:t xml:space="preserve"> and requested</w:t>
      </w:r>
      <w:r w:rsidRPr="00B31261">
        <w:rPr>
          <w:b/>
          <w:sz w:val="22"/>
          <w:szCs w:val="22"/>
        </w:rPr>
        <w:t xml:space="preserve"> information regarding the efforts </w:t>
      </w:r>
      <w:r>
        <w:rPr>
          <w:b/>
          <w:sz w:val="22"/>
          <w:szCs w:val="22"/>
        </w:rPr>
        <w:t>to execute an Enhanced Use Lease (EUL) at Tuskegee</w:t>
      </w:r>
      <w:r w:rsidRPr="00B31261">
        <w:rPr>
          <w:b/>
          <w:sz w:val="22"/>
          <w:szCs w:val="22"/>
        </w:rPr>
        <w:t>.</w:t>
      </w:r>
      <w:r w:rsidRPr="00B31261">
        <w:rPr>
          <w:b/>
          <w:sz w:val="22"/>
          <w:szCs w:val="22"/>
        </w:rPr>
        <w:br/>
      </w:r>
    </w:p>
    <w:p w:rsidR="00910750" w:rsidRPr="00B31261" w:rsidRDefault="00910750" w:rsidP="00910750">
      <w:pPr>
        <w:numPr>
          <w:ilvl w:val="1"/>
          <w:numId w:val="2"/>
        </w:numPr>
        <w:rPr>
          <w:rFonts w:eastAsia="Calibri"/>
          <w:b/>
          <w:bCs/>
          <w:sz w:val="22"/>
          <w:szCs w:val="22"/>
        </w:rPr>
      </w:pPr>
      <w:r w:rsidRPr="00B31261">
        <w:rPr>
          <w:b/>
          <w:sz w:val="22"/>
          <w:szCs w:val="22"/>
        </w:rPr>
        <w:t>VA Response:</w:t>
      </w:r>
      <w:r>
        <w:rPr>
          <w:b/>
          <w:sz w:val="22"/>
          <w:szCs w:val="22"/>
        </w:rPr>
        <w:t xml:space="preserve"> </w:t>
      </w:r>
      <w:r w:rsidRPr="00926DB9">
        <w:rPr>
          <w:sz w:val="22"/>
          <w:szCs w:val="22"/>
        </w:rPr>
        <w:t xml:space="preserve">In 2019, VA solicited proposals for EUL development projects at the Tuskegee campus via two </w:t>
      </w:r>
      <w:r>
        <w:rPr>
          <w:sz w:val="22"/>
          <w:szCs w:val="22"/>
        </w:rPr>
        <w:t>Requests for Qualifications</w:t>
      </w:r>
      <w:r w:rsidRPr="00926DB9">
        <w:rPr>
          <w:sz w:val="22"/>
          <w:szCs w:val="22"/>
        </w:rPr>
        <w:t xml:space="preserve"> (Notice ID: </w:t>
      </w:r>
      <w:hyperlink r:id="rId18" w:history="1">
        <w:r w:rsidRPr="00926DB9">
          <w:rPr>
            <w:rStyle w:val="Hyperlink"/>
            <w:sz w:val="22"/>
            <w:szCs w:val="22"/>
          </w:rPr>
          <w:t>36E77619Q01</w:t>
        </w:r>
        <w:r w:rsidRPr="00926DB9">
          <w:rPr>
            <w:rStyle w:val="Hyperlink"/>
            <w:sz w:val="22"/>
            <w:szCs w:val="22"/>
          </w:rPr>
          <w:t>0</w:t>
        </w:r>
        <w:r w:rsidRPr="00926DB9">
          <w:rPr>
            <w:rStyle w:val="Hyperlink"/>
            <w:sz w:val="22"/>
            <w:szCs w:val="22"/>
          </w:rPr>
          <w:t>9</w:t>
        </w:r>
      </w:hyperlink>
      <w:r w:rsidRPr="00926DB9">
        <w:rPr>
          <w:sz w:val="22"/>
          <w:szCs w:val="22"/>
        </w:rPr>
        <w:t xml:space="preserve"> and </w:t>
      </w:r>
      <w:hyperlink r:id="rId19" w:history="1">
        <w:r w:rsidRPr="00926DB9">
          <w:rPr>
            <w:rStyle w:val="Hyperlink"/>
            <w:sz w:val="22"/>
            <w:szCs w:val="22"/>
          </w:rPr>
          <w:t>36E77619Q0110</w:t>
        </w:r>
      </w:hyperlink>
      <w:r w:rsidRPr="00926DB9">
        <w:rPr>
          <w:rFonts w:eastAsia="Calibri"/>
          <w:bCs/>
          <w:sz w:val="22"/>
          <w:szCs w:val="22"/>
        </w:rPr>
        <w:t>)</w:t>
      </w:r>
      <w:r>
        <w:rPr>
          <w:rFonts w:eastAsia="Calibri"/>
          <w:bCs/>
          <w:sz w:val="22"/>
          <w:szCs w:val="22"/>
        </w:rPr>
        <w:t>. These efforts have yet to result in a feasible project.  VA has sought and continues to welcome support from the NTHP and other preservation partners in identifying financially viable reuse options.</w:t>
      </w:r>
      <w:bookmarkEnd w:id="1"/>
    </w:p>
    <w:p w:rsidR="002775F2" w:rsidRPr="004D4765" w:rsidRDefault="002775F2" w:rsidP="00C9783F">
      <w:pPr>
        <w:spacing w:after="160" w:line="259" w:lineRule="auto"/>
        <w:contextualSpacing/>
        <w:rPr>
          <w:sz w:val="22"/>
          <w:szCs w:val="22"/>
        </w:rPr>
      </w:pPr>
    </w:p>
    <w:sectPr w:rsidR="002775F2" w:rsidRPr="004D4765" w:rsidSect="00CB6BA6">
      <w:footerReference w:type="default" r:id="rId20"/>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29" w:rsidRDefault="005E0229">
      <w:r>
        <w:separator/>
      </w:r>
    </w:p>
  </w:endnote>
  <w:endnote w:type="continuationSeparator" w:id="0">
    <w:p w:rsidR="005E0229" w:rsidRDefault="005E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87984"/>
      <w:docPartObj>
        <w:docPartGallery w:val="Page Numbers (Bottom of Page)"/>
        <w:docPartUnique/>
      </w:docPartObj>
    </w:sdtPr>
    <w:sdtEndPr>
      <w:rPr>
        <w:noProof/>
      </w:rPr>
    </w:sdtEndPr>
    <w:sdtContent>
      <w:p w:rsidR="009D0F47" w:rsidRDefault="009D0F47" w:rsidP="009D0F47">
        <w:pPr>
          <w:jc w:val="center"/>
        </w:pPr>
      </w:p>
      <w:p w:rsidR="009D0F47" w:rsidRPr="0027451F" w:rsidRDefault="009D0F47" w:rsidP="009D0F47">
        <w:pPr>
          <w:jc w:val="center"/>
          <w:rPr>
            <w:sz w:val="20"/>
            <w:szCs w:val="20"/>
          </w:rPr>
        </w:pPr>
        <w:r w:rsidRPr="0027451F">
          <w:rPr>
            <w:sz w:val="20"/>
            <w:szCs w:val="20"/>
          </w:rPr>
          <w:t xml:space="preserve">Visit the VA Program Comment Website for </w:t>
        </w:r>
        <w:r>
          <w:rPr>
            <w:sz w:val="20"/>
            <w:szCs w:val="20"/>
          </w:rPr>
          <w:t>More Information</w:t>
        </w:r>
        <w:r w:rsidRPr="0027451F">
          <w:rPr>
            <w:sz w:val="20"/>
            <w:szCs w:val="20"/>
          </w:rPr>
          <w:t xml:space="preserve"> (</w:t>
        </w:r>
        <w:hyperlink r:id="rId1" w:history="1">
          <w:r w:rsidRPr="0027451F">
            <w:rPr>
              <w:rStyle w:val="Hyperlink"/>
              <w:sz w:val="20"/>
              <w:szCs w:val="20"/>
            </w:rPr>
            <w:t>https://www.achp.gov/VA/VAProgramComment</w:t>
          </w:r>
        </w:hyperlink>
        <w:r w:rsidRPr="0027451F">
          <w:rPr>
            <w:sz w:val="20"/>
            <w:szCs w:val="20"/>
          </w:rPr>
          <w:t>)</w:t>
        </w:r>
      </w:p>
      <w:p w:rsidR="0027451F" w:rsidRPr="009D0F47" w:rsidRDefault="009D0F47" w:rsidP="009D0F47">
        <w:pPr>
          <w:pStyle w:val="Footer"/>
          <w:jc w:val="right"/>
        </w:pPr>
        <w:r w:rsidRPr="009D0F47">
          <w:rPr>
            <w:sz w:val="20"/>
            <w:szCs w:val="20"/>
          </w:rPr>
          <w:fldChar w:fldCharType="begin"/>
        </w:r>
        <w:r w:rsidRPr="009D0F47">
          <w:rPr>
            <w:sz w:val="20"/>
            <w:szCs w:val="20"/>
          </w:rPr>
          <w:instrText xml:space="preserve"> PAGE   \* MERGEFORMAT </w:instrText>
        </w:r>
        <w:r w:rsidRPr="009D0F47">
          <w:rPr>
            <w:sz w:val="20"/>
            <w:szCs w:val="20"/>
          </w:rPr>
          <w:fldChar w:fldCharType="separate"/>
        </w:r>
        <w:r>
          <w:rPr>
            <w:noProof/>
            <w:sz w:val="20"/>
            <w:szCs w:val="20"/>
          </w:rPr>
          <w:t>4</w:t>
        </w:r>
        <w:r w:rsidRPr="009D0F4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29" w:rsidRDefault="005E0229">
      <w:r>
        <w:separator/>
      </w:r>
    </w:p>
  </w:footnote>
  <w:footnote w:type="continuationSeparator" w:id="0">
    <w:p w:rsidR="005E0229" w:rsidRDefault="005E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4F236"/>
    <w:multiLevelType w:val="hybridMultilevel"/>
    <w:tmpl w:val="0F2A37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A843E8"/>
    <w:multiLevelType w:val="hybridMultilevel"/>
    <w:tmpl w:val="BB4D8694"/>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F7C3B9"/>
    <w:multiLevelType w:val="hybridMultilevel"/>
    <w:tmpl w:val="36091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9CDB08"/>
    <w:multiLevelType w:val="hybridMultilevel"/>
    <w:tmpl w:val="A34F5F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A9EAA1"/>
    <w:multiLevelType w:val="hybridMultilevel"/>
    <w:tmpl w:val="E11FF7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734913"/>
    <w:multiLevelType w:val="hybridMultilevel"/>
    <w:tmpl w:val="548A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25E1C"/>
    <w:multiLevelType w:val="hybridMultilevel"/>
    <w:tmpl w:val="967CC9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80245A"/>
    <w:multiLevelType w:val="hybridMultilevel"/>
    <w:tmpl w:val="8E4C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B4B91"/>
    <w:multiLevelType w:val="hybridMultilevel"/>
    <w:tmpl w:val="79C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14056"/>
    <w:multiLevelType w:val="hybridMultilevel"/>
    <w:tmpl w:val="B5F6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D7110"/>
    <w:multiLevelType w:val="hybridMultilevel"/>
    <w:tmpl w:val="8DA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67937"/>
    <w:multiLevelType w:val="hybridMultilevel"/>
    <w:tmpl w:val="C2079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77E6FEA"/>
    <w:multiLevelType w:val="hybridMultilevel"/>
    <w:tmpl w:val="74B0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11B34"/>
    <w:multiLevelType w:val="hybridMultilevel"/>
    <w:tmpl w:val="A2F8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9239A"/>
    <w:multiLevelType w:val="hybridMultilevel"/>
    <w:tmpl w:val="1D4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95BCA"/>
    <w:multiLevelType w:val="hybridMultilevel"/>
    <w:tmpl w:val="36CA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706C4"/>
    <w:multiLevelType w:val="hybridMultilevel"/>
    <w:tmpl w:val="9DE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8D0F93"/>
    <w:multiLevelType w:val="hybridMultilevel"/>
    <w:tmpl w:val="7388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01658B"/>
    <w:multiLevelType w:val="hybridMultilevel"/>
    <w:tmpl w:val="9642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23503"/>
    <w:multiLevelType w:val="hybridMultilevel"/>
    <w:tmpl w:val="211A5168"/>
    <w:lvl w:ilvl="0" w:tplc="B2EED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1CAC0"/>
    <w:multiLevelType w:val="hybridMultilevel"/>
    <w:tmpl w:val="39FB5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7607422"/>
    <w:multiLevelType w:val="hybridMultilevel"/>
    <w:tmpl w:val="17D6D00E"/>
    <w:lvl w:ilvl="0" w:tplc="B2EED6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0"/>
  </w:num>
  <w:num w:numId="4">
    <w:abstractNumId w:val="18"/>
  </w:num>
  <w:num w:numId="5">
    <w:abstractNumId w:val="17"/>
  </w:num>
  <w:num w:numId="6">
    <w:abstractNumId w:val="7"/>
  </w:num>
  <w:num w:numId="7">
    <w:abstractNumId w:val="0"/>
  </w:num>
  <w:num w:numId="8">
    <w:abstractNumId w:val="20"/>
  </w:num>
  <w:num w:numId="9">
    <w:abstractNumId w:val="3"/>
  </w:num>
  <w:num w:numId="10">
    <w:abstractNumId w:val="1"/>
  </w:num>
  <w:num w:numId="11">
    <w:abstractNumId w:val="2"/>
  </w:num>
  <w:num w:numId="12">
    <w:abstractNumId w:val="6"/>
  </w:num>
  <w:num w:numId="13">
    <w:abstractNumId w:val="4"/>
  </w:num>
  <w:num w:numId="14">
    <w:abstractNumId w:val="11"/>
  </w:num>
  <w:num w:numId="15">
    <w:abstractNumId w:val="5"/>
  </w:num>
  <w:num w:numId="16">
    <w:abstractNumId w:val="8"/>
  </w:num>
  <w:num w:numId="17">
    <w:abstractNumId w:val="19"/>
  </w:num>
  <w:num w:numId="18">
    <w:abstractNumId w:val="21"/>
  </w:num>
  <w:num w:numId="19">
    <w:abstractNumId w:val="14"/>
  </w:num>
  <w:num w:numId="20">
    <w:abstractNumId w:val="13"/>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2"/>
    <w:rsid w:val="00024381"/>
    <w:rsid w:val="000658B1"/>
    <w:rsid w:val="0007056D"/>
    <w:rsid w:val="000B6809"/>
    <w:rsid w:val="000C391E"/>
    <w:rsid w:val="000D2CCB"/>
    <w:rsid w:val="000F2A48"/>
    <w:rsid w:val="00145BE2"/>
    <w:rsid w:val="00146822"/>
    <w:rsid w:val="00150FEE"/>
    <w:rsid w:val="00162DE6"/>
    <w:rsid w:val="001B2D5E"/>
    <w:rsid w:val="001C6DE9"/>
    <w:rsid w:val="001D0FD6"/>
    <w:rsid w:val="001E7BC3"/>
    <w:rsid w:val="0027451F"/>
    <w:rsid w:val="002775F2"/>
    <w:rsid w:val="002F3375"/>
    <w:rsid w:val="003105B7"/>
    <w:rsid w:val="00354E60"/>
    <w:rsid w:val="003606EF"/>
    <w:rsid w:val="003D7861"/>
    <w:rsid w:val="003D7E2F"/>
    <w:rsid w:val="0040121F"/>
    <w:rsid w:val="004023A7"/>
    <w:rsid w:val="004156EC"/>
    <w:rsid w:val="0044426E"/>
    <w:rsid w:val="004A03AB"/>
    <w:rsid w:val="004C1133"/>
    <w:rsid w:val="004C23E4"/>
    <w:rsid w:val="004D4765"/>
    <w:rsid w:val="004E68BB"/>
    <w:rsid w:val="005929DB"/>
    <w:rsid w:val="00592E2D"/>
    <w:rsid w:val="005C4CE4"/>
    <w:rsid w:val="005D2DA7"/>
    <w:rsid w:val="005E0229"/>
    <w:rsid w:val="005F3CF0"/>
    <w:rsid w:val="005F4FFA"/>
    <w:rsid w:val="00695692"/>
    <w:rsid w:val="006B52F4"/>
    <w:rsid w:val="006C3FF9"/>
    <w:rsid w:val="006C5023"/>
    <w:rsid w:val="006E44FE"/>
    <w:rsid w:val="006F6121"/>
    <w:rsid w:val="00702E44"/>
    <w:rsid w:val="00732309"/>
    <w:rsid w:val="00751404"/>
    <w:rsid w:val="007566A0"/>
    <w:rsid w:val="0078232E"/>
    <w:rsid w:val="007A242B"/>
    <w:rsid w:val="007D5134"/>
    <w:rsid w:val="008248FC"/>
    <w:rsid w:val="00826115"/>
    <w:rsid w:val="008A56A7"/>
    <w:rsid w:val="008B4501"/>
    <w:rsid w:val="00910750"/>
    <w:rsid w:val="00916F4A"/>
    <w:rsid w:val="009504F6"/>
    <w:rsid w:val="00961BF6"/>
    <w:rsid w:val="00971877"/>
    <w:rsid w:val="00976B98"/>
    <w:rsid w:val="009836C5"/>
    <w:rsid w:val="009D0F47"/>
    <w:rsid w:val="009D5992"/>
    <w:rsid w:val="00A11445"/>
    <w:rsid w:val="00A22EA4"/>
    <w:rsid w:val="00A51250"/>
    <w:rsid w:val="00AA42AC"/>
    <w:rsid w:val="00AF3045"/>
    <w:rsid w:val="00B377D6"/>
    <w:rsid w:val="00B76044"/>
    <w:rsid w:val="00B828C0"/>
    <w:rsid w:val="00C06DCE"/>
    <w:rsid w:val="00C433AF"/>
    <w:rsid w:val="00C50AB0"/>
    <w:rsid w:val="00C72D6A"/>
    <w:rsid w:val="00C9783F"/>
    <w:rsid w:val="00CB6BA6"/>
    <w:rsid w:val="00CC42D2"/>
    <w:rsid w:val="00CD6B8C"/>
    <w:rsid w:val="00CF14B4"/>
    <w:rsid w:val="00D01F91"/>
    <w:rsid w:val="00D05F92"/>
    <w:rsid w:val="00D37976"/>
    <w:rsid w:val="00D47A95"/>
    <w:rsid w:val="00DD32D5"/>
    <w:rsid w:val="00DF5DA0"/>
    <w:rsid w:val="00E1534F"/>
    <w:rsid w:val="00E53A2C"/>
    <w:rsid w:val="00E738CC"/>
    <w:rsid w:val="00E814C8"/>
    <w:rsid w:val="00EA5AE4"/>
    <w:rsid w:val="00ED21C2"/>
    <w:rsid w:val="00ED48C2"/>
    <w:rsid w:val="00ED6182"/>
    <w:rsid w:val="00F02F24"/>
    <w:rsid w:val="00F27F23"/>
    <w:rsid w:val="00F33349"/>
    <w:rsid w:val="00F4368F"/>
    <w:rsid w:val="00F95716"/>
    <w:rsid w:val="00FB1036"/>
    <w:rsid w:val="00FB7CBA"/>
    <w:rsid w:val="00FD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2882">
      <w:bodyDiv w:val="1"/>
      <w:marLeft w:val="0"/>
      <w:marRight w:val="0"/>
      <w:marTop w:val="0"/>
      <w:marBottom w:val="0"/>
      <w:divBdr>
        <w:top w:val="none" w:sz="0" w:space="0" w:color="auto"/>
        <w:left w:val="none" w:sz="0" w:space="0" w:color="auto"/>
        <w:bottom w:val="none" w:sz="0" w:space="0" w:color="auto"/>
        <w:right w:val="none" w:sz="0" w:space="0" w:color="auto"/>
      </w:divBdr>
    </w:div>
    <w:div w:id="608397704">
      <w:bodyDiv w:val="1"/>
      <w:marLeft w:val="0"/>
      <w:marRight w:val="0"/>
      <w:marTop w:val="0"/>
      <w:marBottom w:val="0"/>
      <w:divBdr>
        <w:top w:val="none" w:sz="0" w:space="0" w:color="auto"/>
        <w:left w:val="none" w:sz="0" w:space="0" w:color="auto"/>
        <w:bottom w:val="none" w:sz="0" w:space="0" w:color="auto"/>
        <w:right w:val="none" w:sz="0" w:space="0" w:color="auto"/>
      </w:divBdr>
    </w:div>
    <w:div w:id="1083452162">
      <w:bodyDiv w:val="1"/>
      <w:marLeft w:val="0"/>
      <w:marRight w:val="0"/>
      <w:marTop w:val="0"/>
      <w:marBottom w:val="0"/>
      <w:divBdr>
        <w:top w:val="none" w:sz="0" w:space="0" w:color="auto"/>
        <w:left w:val="none" w:sz="0" w:space="0" w:color="auto"/>
        <w:bottom w:val="none" w:sz="0" w:space="0" w:color="auto"/>
        <w:right w:val="none" w:sz="0" w:space="0" w:color="auto"/>
      </w:divBdr>
    </w:div>
    <w:div w:id="16681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hp.gov/sites/default/files/2018-11/va.va_.hampton%20vamc.demolition%20of%20building%2071%20and%20construction%20of%20admin%20building.moa_.26sep2017.pdf" TargetMode="External"/><Relationship Id="rId18" Type="http://schemas.openxmlformats.org/officeDocument/2006/relationships/hyperlink" Target="https://sam.gov/opp/f4deb2f1adccb7178c17c7b25ccab70c/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chp.gov/sites/default/files/programmatic_agreements/2020-07/va.va_.hampton%20vamc.demolition%20of%20historic%20buildings%2050%20and%2052.pa_.18jun2020.pdf" TargetMode="External"/><Relationship Id="rId17" Type="http://schemas.openxmlformats.org/officeDocument/2006/relationships/hyperlink" Target="https://www.achp.gov/sites/default/files/2018-11/ma.va_.northampton%20vamc.demolition%20of%2013%20buildings.moa_.23jul2018.pdf" TargetMode="External"/><Relationship Id="rId2" Type="http://schemas.openxmlformats.org/officeDocument/2006/relationships/numbering" Target="numbering.xml"/><Relationship Id="rId16" Type="http://schemas.openxmlformats.org/officeDocument/2006/relationships/hyperlink" Target="https://www.achp.gov/sites/default/files/2019-04/ma.va_.northampton%20vamc.demolition%20of%20buildings%2017%2C%2018%2C%2019%2C%2021%20and%2023.moa_.17apr20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fm.va.gov/historic/" TargetMode="External"/><Relationship Id="rId5" Type="http://schemas.openxmlformats.org/officeDocument/2006/relationships/settings" Target="settings.xml"/><Relationship Id="rId15" Type="http://schemas.openxmlformats.org/officeDocument/2006/relationships/hyperlink" Target="https://www.achp.gov/sites/default/files/2018-07/in.va_.marion%20vamc.demolition%20of%20eighteen%20buildings.moa_.amendment.21may2009.pdf" TargetMode="External"/><Relationship Id="rId10" Type="http://schemas.openxmlformats.org/officeDocument/2006/relationships/hyperlink" Target="https://www.achp.gov/VA/VAProgramComment" TargetMode="External"/><Relationship Id="rId19" Type="http://schemas.openxmlformats.org/officeDocument/2006/relationships/hyperlink" Target="https://sam.gov/opp/962188403da04d8c96c53c7f5a937df7/view" TargetMode="External"/><Relationship Id="rId4" Type="http://schemas.microsoft.com/office/2007/relationships/stylesWithEffects" Target="stylesWithEffects.xml"/><Relationship Id="rId9" Type="http://schemas.openxmlformats.org/officeDocument/2006/relationships/hyperlink" Target="https://www.federalregister.gov/documents/2018/10/26/2018-23397/notice-of-issuance-of-the-us-department-of-veterans-affairs-program-comment-for-vacant-and" TargetMode="External"/><Relationship Id="rId14" Type="http://schemas.openxmlformats.org/officeDocument/2006/relationships/hyperlink" Target="https://www.achp.gov/sites/default/files/2018-07/in.va_.marion%20vamc.demolition%20of%20eighteen%20buildings.moa_.07sep200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chp.gov/VA/VAProgram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C097-D78D-41A3-8F83-498B2712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of Veterans Affairs - NCA</Company>
  <LinksUpToDate>false</LinksUpToDate>
  <CharactersWithSpaces>10290</CharactersWithSpaces>
  <SharedDoc>false</SharedDoc>
  <HLinks>
    <vt:vector size="30" baseType="variant">
      <vt:variant>
        <vt:i4>2883679</vt:i4>
      </vt:variant>
      <vt:variant>
        <vt:i4>12</vt:i4>
      </vt:variant>
      <vt:variant>
        <vt:i4>0</vt:i4>
      </vt:variant>
      <vt:variant>
        <vt:i4>5</vt:i4>
      </vt:variant>
      <vt:variant>
        <vt:lpwstr>mailto:douglas.pulak@va.gov</vt:lpwstr>
      </vt:variant>
      <vt:variant>
        <vt:lpwstr/>
      </vt:variant>
      <vt:variant>
        <vt:i4>1638492</vt:i4>
      </vt:variant>
      <vt:variant>
        <vt:i4>9</vt:i4>
      </vt:variant>
      <vt:variant>
        <vt:i4>0</vt:i4>
      </vt:variant>
      <vt:variant>
        <vt:i4>5</vt:i4>
      </vt:variant>
      <vt:variant>
        <vt:lpwstr>https://www.achp.gov/VA/VAProgramComment</vt:lpwstr>
      </vt:variant>
      <vt:variant>
        <vt:lpwstr/>
      </vt:variant>
      <vt:variant>
        <vt:i4>6881344</vt:i4>
      </vt:variant>
      <vt:variant>
        <vt:i4>6</vt:i4>
      </vt:variant>
      <vt:variant>
        <vt:i4>0</vt:i4>
      </vt:variant>
      <vt:variant>
        <vt:i4>5</vt:i4>
      </vt:variant>
      <vt:variant>
        <vt:lpwstr>https://www.va.gov/vapubs/viewPublication.asp?Pub_ID=899&amp;FType=2</vt:lpwstr>
      </vt:variant>
      <vt:variant>
        <vt:lpwstr/>
      </vt:variant>
      <vt:variant>
        <vt:i4>1638492</vt:i4>
      </vt:variant>
      <vt:variant>
        <vt:i4>3</vt:i4>
      </vt:variant>
      <vt:variant>
        <vt:i4>0</vt:i4>
      </vt:variant>
      <vt:variant>
        <vt:i4>5</vt:i4>
      </vt:variant>
      <vt:variant>
        <vt:lpwstr>https://www.achp.gov/VA/VAProgramComment</vt:lpwstr>
      </vt:variant>
      <vt:variant>
        <vt:lpwstr/>
      </vt:variant>
      <vt:variant>
        <vt:i4>8192056</vt:i4>
      </vt:variant>
      <vt:variant>
        <vt:i4>0</vt:i4>
      </vt:variant>
      <vt:variant>
        <vt:i4>0</vt:i4>
      </vt:variant>
      <vt:variant>
        <vt:i4>5</vt:i4>
      </vt:variant>
      <vt:variant>
        <vt:lpwstr>https://www.federalregister.gov/documents/2018/10/26/2018-23397/notice-of-issuance-of-the-us-department-of-veterans-affairs-program-comment-for-vacant-and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Angela McArdle</cp:lastModifiedBy>
  <cp:revision>13</cp:revision>
  <cp:lastPrinted>2014-04-04T13:30:00Z</cp:lastPrinted>
  <dcterms:created xsi:type="dcterms:W3CDTF">2021-09-28T15:14:00Z</dcterms:created>
  <dcterms:modified xsi:type="dcterms:W3CDTF">2021-09-28T15:38:00Z</dcterms:modified>
</cp:coreProperties>
</file>